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7AF76" w14:textId="4D33F519" w:rsidR="002F52F3" w:rsidRDefault="00B93510" w:rsidP="00D55F83">
      <w:pPr>
        <w:pStyle w:val="ac"/>
      </w:pPr>
      <w:r w:rsidRPr="00B93510">
        <w:t>Щелевая антенна с экраном в виде полости для обеспечения двойной круговой поляризации</w:t>
      </w:r>
    </w:p>
    <w:p w14:paraId="701B0EA8" w14:textId="6AADBCB9" w:rsidR="0040196D" w:rsidRPr="00E8196D" w:rsidRDefault="005F0382" w:rsidP="00D55F83">
      <w:pPr>
        <w:pStyle w:val="ab"/>
      </w:pPr>
      <w:r>
        <w:t>Е</w:t>
      </w:r>
      <w:r w:rsidR="0040196D">
        <w:t xml:space="preserve">. </w:t>
      </w:r>
      <w:r>
        <w:t>Е</w:t>
      </w:r>
      <w:r w:rsidR="0040196D">
        <w:t xml:space="preserve">. </w:t>
      </w:r>
      <w:r>
        <w:t>Устюгов</w:t>
      </w:r>
      <w:r w:rsidR="0040196D">
        <w:t>, Е. Р. Гафаров</w:t>
      </w:r>
      <w:r w:rsidR="0040196D" w:rsidRPr="003F3674">
        <w:t>,</w:t>
      </w:r>
      <w:r w:rsidR="0040196D">
        <w:t xml:space="preserve"> А.</w:t>
      </w:r>
      <w:r w:rsidR="00D55F83">
        <w:t xml:space="preserve"> </w:t>
      </w:r>
      <w:r>
        <w:t>А</w:t>
      </w:r>
      <w:r w:rsidR="0040196D">
        <w:t xml:space="preserve">. </w:t>
      </w:r>
      <w:r>
        <w:t>Ерохин</w:t>
      </w:r>
      <w:r w:rsidR="0040196D">
        <w:t>, Р.</w:t>
      </w:r>
      <w:r w:rsidR="00D55F83">
        <w:t xml:space="preserve"> </w:t>
      </w:r>
      <w:r w:rsidR="0040196D">
        <w:t>О. Рязанцев</w:t>
      </w:r>
    </w:p>
    <w:p w14:paraId="6BBAD554" w14:textId="7AD64818" w:rsidR="00D55F83" w:rsidRPr="00D55F83" w:rsidRDefault="0040196D" w:rsidP="00D55F83">
      <w:pPr>
        <w:pStyle w:val="aa"/>
      </w:pPr>
      <w:r w:rsidRPr="00D55F83">
        <w:t>Сибирский федеральный университет</w:t>
      </w:r>
      <w:r w:rsidR="00D55F83">
        <w:t xml:space="preserve">, </w:t>
      </w:r>
      <w:r w:rsidR="00D55F83" w:rsidRPr="00D55F83">
        <w:rPr>
          <w:i w:val="0"/>
        </w:rPr>
        <w:t>Красноярск, Россия</w:t>
      </w:r>
    </w:p>
    <w:p w14:paraId="6C4AC1B2" w14:textId="20E7A562" w:rsidR="0040196D" w:rsidRPr="00996463" w:rsidRDefault="0040196D" w:rsidP="00D55F83">
      <w:pPr>
        <w:pStyle w:val="afa"/>
      </w:pPr>
      <w:r w:rsidRPr="00D55F83">
        <w:t xml:space="preserve">E-mail </w:t>
      </w:r>
      <w:r w:rsidR="005F0382" w:rsidRPr="00D55F83">
        <w:t>eeustyugov@sfu-kras.ru</w:t>
      </w:r>
    </w:p>
    <w:p w14:paraId="0AF5B065" w14:textId="77777777" w:rsidR="0040196D" w:rsidRPr="00996463" w:rsidRDefault="0040196D" w:rsidP="0040196D">
      <w:pPr>
        <w:sectPr w:rsidR="0040196D" w:rsidRPr="00996463" w:rsidSect="00D55F83">
          <w:footerReference w:type="first" r:id="rId9"/>
          <w:type w:val="continuous"/>
          <w:pgSz w:w="11906" w:h="16838" w:code="9"/>
          <w:pgMar w:top="567" w:right="907" w:bottom="1440" w:left="907" w:header="720" w:footer="720" w:gutter="0"/>
          <w:cols w:space="720"/>
          <w:docGrid w:linePitch="360" w:charSpace="8192"/>
        </w:sectPr>
      </w:pPr>
    </w:p>
    <w:p w14:paraId="4267AC08" w14:textId="0A514496" w:rsidR="002F52F3" w:rsidRPr="00B93510" w:rsidRDefault="00B93510" w:rsidP="00D55F83">
      <w:pPr>
        <w:pStyle w:val="a9"/>
        <w:rPr>
          <w:rFonts w:eastAsia="MS Mincho"/>
        </w:rPr>
      </w:pPr>
      <w:r>
        <w:rPr>
          <w:rFonts w:eastAsia="MS Mincho"/>
          <w:i/>
        </w:rPr>
        <w:lastRenderedPageBreak/>
        <w:t>Аннотация</w:t>
      </w:r>
      <w:r w:rsidR="00D55F83">
        <w:rPr>
          <w:rFonts w:eastAsia="MS Mincho"/>
          <w:i/>
        </w:rPr>
        <w:t xml:space="preserve">. </w:t>
      </w:r>
      <w:r w:rsidRPr="00B93510">
        <w:rPr>
          <w:rFonts w:eastAsia="MS Mincho"/>
        </w:rPr>
        <w:t xml:space="preserve">В данной статье представлена щелевая антенна с внутренней полостью - объемным резонатором, имеющая двойную круговую поляризацию. Схема питания представляет собой квадратурный делитель мощности и </w:t>
      </w:r>
      <w:proofErr w:type="spellStart"/>
      <w:r w:rsidRPr="00B93510">
        <w:rPr>
          <w:rFonts w:eastAsia="MS Mincho"/>
        </w:rPr>
        <w:t>микрополосковые</w:t>
      </w:r>
      <w:proofErr w:type="spellEnd"/>
      <w:r w:rsidRPr="00B93510">
        <w:rPr>
          <w:rFonts w:eastAsia="MS Mincho"/>
        </w:rPr>
        <w:t xml:space="preserve"> линии, использующиеся для возбуждения четырех линейно </w:t>
      </w:r>
      <w:r w:rsidRPr="00D55F83">
        <w:rPr>
          <w:rFonts w:eastAsia="MS Mincho"/>
        </w:rPr>
        <w:t>поляризованных</w:t>
      </w:r>
      <w:r w:rsidRPr="00B93510">
        <w:rPr>
          <w:rFonts w:eastAsia="MS Mincho"/>
        </w:rPr>
        <w:t xml:space="preserve"> меандров, расположенных в щелях полости-резонатора. Представленная антенна имеет полосу частот 1,45-1,55 ГГц: уровень коэффициента отражения не превышает -13,1дБ, а КПД антенны составляет 91,1-98%. На центральной частоте 1,5 ГГц коэффициент усиления составляет 5,5 </w:t>
      </w:r>
      <w:proofErr w:type="spellStart"/>
      <w:r w:rsidRPr="00B93510">
        <w:rPr>
          <w:rFonts w:eastAsia="MS Mincho"/>
        </w:rPr>
        <w:t>дБи</w:t>
      </w:r>
      <w:proofErr w:type="spellEnd"/>
      <w:r w:rsidRPr="00B93510">
        <w:rPr>
          <w:rFonts w:eastAsia="MS Mincho"/>
        </w:rPr>
        <w:t xml:space="preserve"> для правой круговой поляризации и 5,4 </w:t>
      </w:r>
      <w:proofErr w:type="spellStart"/>
      <w:r w:rsidRPr="00B93510">
        <w:rPr>
          <w:rFonts w:eastAsia="MS Mincho"/>
        </w:rPr>
        <w:t>дБи</w:t>
      </w:r>
      <w:proofErr w:type="spellEnd"/>
      <w:r w:rsidRPr="00B93510">
        <w:rPr>
          <w:rFonts w:eastAsia="MS Mincho"/>
        </w:rPr>
        <w:t xml:space="preserve"> для левой.</w:t>
      </w:r>
    </w:p>
    <w:p w14:paraId="1E3F9795" w14:textId="642CFC1D" w:rsidR="002F52F3" w:rsidRPr="00C1270C" w:rsidRDefault="00C1270C" w:rsidP="00D55F83">
      <w:pPr>
        <w:pStyle w:val="af9"/>
        <w:rPr>
          <w:rFonts w:eastAsia="MS Mincho"/>
        </w:rPr>
      </w:pPr>
      <w:r>
        <w:rPr>
          <w:rFonts w:eastAsia="MS Mincho"/>
        </w:rPr>
        <w:t>Ключевые слова</w:t>
      </w:r>
      <w:r w:rsidR="00D55F83">
        <w:rPr>
          <w:rFonts w:eastAsia="MS Mincho"/>
        </w:rPr>
        <w:t xml:space="preserve">: </w:t>
      </w:r>
      <w:r>
        <w:rPr>
          <w:rFonts w:eastAsia="MS Mincho"/>
        </w:rPr>
        <w:t>а</w:t>
      </w:r>
      <w:r w:rsidRPr="00C1270C">
        <w:rPr>
          <w:rFonts w:eastAsia="MS Mincho"/>
        </w:rPr>
        <w:t>нтенна с внутренней полостью</w:t>
      </w:r>
      <w:r w:rsidR="008A75EA" w:rsidRPr="008A75EA">
        <w:rPr>
          <w:rFonts w:eastAsia="MS Mincho"/>
        </w:rPr>
        <w:t>;</w:t>
      </w:r>
      <w:r w:rsidRPr="00C1270C">
        <w:rPr>
          <w:rFonts w:eastAsia="MS Mincho"/>
        </w:rPr>
        <w:t xml:space="preserve"> двойная круговая поляризация</w:t>
      </w:r>
      <w:r w:rsidR="008A75EA" w:rsidRPr="008A75EA">
        <w:rPr>
          <w:rFonts w:eastAsia="MS Mincho"/>
        </w:rPr>
        <w:t>;</w:t>
      </w:r>
      <w:r w:rsidRPr="00C1270C">
        <w:rPr>
          <w:rFonts w:eastAsia="MS Mincho"/>
        </w:rPr>
        <w:t xml:space="preserve"> щелевая антенна</w:t>
      </w:r>
      <w:r w:rsidR="008A75EA" w:rsidRPr="008A75EA">
        <w:rPr>
          <w:rFonts w:eastAsia="MS Mincho"/>
        </w:rPr>
        <w:t>;</w:t>
      </w:r>
      <w:r w:rsidRPr="00C1270C">
        <w:rPr>
          <w:rFonts w:eastAsia="MS Mincho"/>
        </w:rPr>
        <w:t xml:space="preserve"> разнесённый прием/передача</w:t>
      </w:r>
    </w:p>
    <w:p w14:paraId="08A6FF75" w14:textId="3857A279" w:rsidR="002F52F3" w:rsidRPr="00771B33" w:rsidRDefault="00C1270C" w:rsidP="002F52F3">
      <w:pPr>
        <w:pStyle w:val="1"/>
      </w:pPr>
      <w:r>
        <w:t>В</w:t>
      </w:r>
      <w:r w:rsidR="00337A11">
        <w:t>ведение</w:t>
      </w:r>
    </w:p>
    <w:p w14:paraId="09A2D432" w14:textId="5BECDAF7" w:rsidR="002F52F3" w:rsidRPr="00D00EC9" w:rsidRDefault="004A4E76" w:rsidP="002F52F3">
      <w:pPr>
        <w:pStyle w:val="a4"/>
      </w:pPr>
      <w:r w:rsidRPr="004A4E76">
        <w:t>В</w:t>
      </w:r>
      <w:r>
        <w:t xml:space="preserve"> настоящий момент существует необходимость создания </w:t>
      </w:r>
      <w:r w:rsidR="002C7F21">
        <w:t>многоканальных</w:t>
      </w:r>
      <w:r w:rsidR="00DD617F">
        <w:t xml:space="preserve"> </w:t>
      </w:r>
      <w:r w:rsidR="003E4D08">
        <w:t>антенн</w:t>
      </w:r>
      <w:r w:rsidR="00DD617F">
        <w:t>, в том числе</w:t>
      </w:r>
      <w:r w:rsidR="003E4D08">
        <w:t xml:space="preserve"> для спутников, находящихся на</w:t>
      </w:r>
      <w:r w:rsidR="00DD617F">
        <w:t xml:space="preserve"> Геостационарной и</w:t>
      </w:r>
      <w:r w:rsidR="003E4D08">
        <w:t xml:space="preserve"> Низкой Околоземной Орбите (НОО)</w:t>
      </w:r>
      <w:r w:rsidR="002C7F21">
        <w:t>.</w:t>
      </w:r>
      <w:r w:rsidR="007D4F33">
        <w:t xml:space="preserve"> </w:t>
      </w:r>
      <w:r w:rsidR="002C7F21">
        <w:t>Т</w:t>
      </w:r>
      <w:r w:rsidR="007D4F33">
        <w:t>акие антенны должны быть легкими, дешевыми и простыми конструктивно</w:t>
      </w:r>
      <w:r w:rsidR="002C7F21">
        <w:t xml:space="preserve"> и </w:t>
      </w:r>
      <w:r w:rsidR="004448A6">
        <w:t>при этом сохран</w:t>
      </w:r>
      <w:r w:rsidR="005136FF">
        <w:t>ить</w:t>
      </w:r>
      <w:r w:rsidR="004448A6">
        <w:t xml:space="preserve"> все полезные характеристики</w:t>
      </w:r>
      <w:r w:rsidR="00D00EC9">
        <w:t xml:space="preserve">, такие как </w:t>
      </w:r>
      <w:r w:rsidR="007C7EF3">
        <w:t>коэффициент отражения (</w:t>
      </w:r>
      <w:proofErr w:type="gramStart"/>
      <w:r w:rsidR="00D00EC9">
        <w:t>КО</w:t>
      </w:r>
      <w:proofErr w:type="gramEnd"/>
      <w:r w:rsidR="007C7EF3">
        <w:t>)</w:t>
      </w:r>
      <w:r w:rsidR="00D00EC9">
        <w:t xml:space="preserve">, </w:t>
      </w:r>
      <w:r w:rsidR="007C7EF3">
        <w:t>коэффициент усиления (</w:t>
      </w:r>
      <w:r w:rsidR="00D00EC9">
        <w:t>КУ</w:t>
      </w:r>
      <w:r w:rsidR="007C7EF3">
        <w:t>)</w:t>
      </w:r>
      <w:r w:rsidR="00D00EC9">
        <w:t xml:space="preserve"> и КПД</w:t>
      </w:r>
      <w:r w:rsidR="004448A6">
        <w:t xml:space="preserve"> на требуемом уровне.</w:t>
      </w:r>
      <w:r w:rsidR="00DD617F">
        <w:t xml:space="preserve"> </w:t>
      </w:r>
      <w:r w:rsidR="00D4326D">
        <w:t>Еще т</w:t>
      </w:r>
      <w:r w:rsidR="00DD617F">
        <w:t xml:space="preserve">акие антенны можно использовать </w:t>
      </w:r>
      <w:r w:rsidR="00D4326D">
        <w:t>в качестве</w:t>
      </w:r>
      <w:r w:rsidR="00DD617F">
        <w:t xml:space="preserve"> </w:t>
      </w:r>
      <w:r w:rsidR="00D46E3B">
        <w:t xml:space="preserve">элементов </w:t>
      </w:r>
      <w:r w:rsidR="00DD617F">
        <w:t>наземных</w:t>
      </w:r>
      <w:r w:rsidR="00D4326D">
        <w:t xml:space="preserve"> опорных</w:t>
      </w:r>
      <w:r w:rsidR="00DD617F">
        <w:t xml:space="preserve"> станций</w:t>
      </w:r>
      <w:r w:rsidR="00D4326D">
        <w:t xml:space="preserve">, благодаря чему спектр применения становится </w:t>
      </w:r>
      <w:r w:rsidR="00D46E3B">
        <w:t>шире</w:t>
      </w:r>
      <w:r w:rsidR="00D4326D">
        <w:t xml:space="preserve">. </w:t>
      </w:r>
      <w:r w:rsidR="002C7F21">
        <w:t>Каналы приема/передачи в единичной антенне, как правило, создаются за счет одновременного возбуждения двух ортогональных поляризаций, например, горизонтальная и вертикальная либо левая и правая поляризации. Последний вариант наиболее предпочтителен для антенн космических аппаратов и их наземных терминалов, так как нет необходимости следить за ориентацией спутника в свободном пространстве.</w:t>
      </w:r>
    </w:p>
    <w:p w14:paraId="306A317B" w14:textId="49F79003" w:rsidR="002F52F3" w:rsidRDefault="00F0074D" w:rsidP="006528DD">
      <w:pPr>
        <w:pStyle w:val="a4"/>
      </w:pPr>
      <w:r>
        <w:t>В качестве одного из возможных вариантов решения данной задачи может использоваться антенна с внутренней полостью – объемным резонаторо</w:t>
      </w:r>
      <w:r w:rsidR="003A019B">
        <w:t>м</w:t>
      </w:r>
      <w:r w:rsidR="00113042" w:rsidRPr="00113042">
        <w:t xml:space="preserve">, </w:t>
      </w:r>
      <w:r w:rsidR="003A019B">
        <w:t xml:space="preserve">с помощью которой возбуждаются излучающие </w:t>
      </w:r>
      <w:r w:rsidR="0026417A">
        <w:t>щели</w:t>
      </w:r>
      <w:r w:rsidR="003A019B">
        <w:t xml:space="preserve">. </w:t>
      </w:r>
      <w:r w:rsidR="00113042">
        <w:t xml:space="preserve">В </w:t>
      </w:r>
      <w:r w:rsidR="00113042" w:rsidRPr="00113042">
        <w:t>[1]</w:t>
      </w:r>
      <w:r w:rsidR="00113042">
        <w:t xml:space="preserve"> представлена подобная антенна, она имеет хорошее согласование, но только в узкой рабочей полосе частот (3%), а также линейную поляризацию. В </w:t>
      </w:r>
      <w:r w:rsidR="00113042" w:rsidRPr="00113042">
        <w:t>[2]</w:t>
      </w:r>
      <w:r w:rsidR="00113042">
        <w:t xml:space="preserve"> представлена антенна с наклонной линейной поляризацией и крайне узкой полосой рабочих частот (0,5%). В </w:t>
      </w:r>
      <w:r w:rsidR="00113042" w:rsidRPr="00113042">
        <w:t>[3]</w:t>
      </w:r>
      <w:r w:rsidR="00113042">
        <w:t xml:space="preserve"> представлена антенна с хорошим согласованием и высоким КУ в полосе, которая составляет 13,7%, однако сама антенна выполнена не </w:t>
      </w:r>
      <w:r w:rsidR="002C7F21">
        <w:t xml:space="preserve">по планарной технологии, включающей </w:t>
      </w:r>
      <w:proofErr w:type="spellStart"/>
      <w:r w:rsidR="002C7F21">
        <w:t>микрополосковые</w:t>
      </w:r>
      <w:proofErr w:type="spellEnd"/>
      <w:r w:rsidR="002C7F21">
        <w:t xml:space="preserve"> линии (МПЛ), </w:t>
      </w:r>
      <w:r w:rsidR="004E71D5">
        <w:t xml:space="preserve">что делает ее достаточно громоздкой. В </w:t>
      </w:r>
      <w:r w:rsidR="004E71D5" w:rsidRPr="0088482C">
        <w:t>[4]</w:t>
      </w:r>
      <w:r w:rsidR="0088482C">
        <w:t xml:space="preserve"> представлены щелевые решетки 2х2 и 4х4 элемента, </w:t>
      </w:r>
      <w:r w:rsidR="0088482C">
        <w:lastRenderedPageBreak/>
        <w:t xml:space="preserve">имеющие </w:t>
      </w:r>
      <w:proofErr w:type="gramStart"/>
      <w:r w:rsidR="0088482C">
        <w:t>высокий</w:t>
      </w:r>
      <w:proofErr w:type="gramEnd"/>
      <w:r w:rsidR="0088482C">
        <w:t xml:space="preserve"> КУ в широких полосах частот, составляющих 15% и 11,7% соответственно, также они имеют линейную поляризацию. В </w:t>
      </w:r>
      <w:r w:rsidR="0088482C" w:rsidRPr="0088482C">
        <w:t>[5]</w:t>
      </w:r>
      <w:r w:rsidR="0088482C">
        <w:t xml:space="preserve"> представлена антенна с линейной поляризацией, в которой при помощи возбуждения высших мод расширяется полоса рабочих частот с 12,2% до 21,3%.</w:t>
      </w:r>
      <w:r w:rsidR="002F18A3">
        <w:t xml:space="preserve"> В </w:t>
      </w:r>
      <w:r w:rsidR="002F18A3" w:rsidRPr="002F18A3">
        <w:t>[6]</w:t>
      </w:r>
      <w:r w:rsidR="002F18A3">
        <w:t xml:space="preserve"> представлена антенна в 2 излучающими щелями, благодаря введению второй щели уменьшаются размеры по сравнению с другими решениями в рассматриваемом диапазоне и при этом сохраняются полезные характеристики.</w:t>
      </w:r>
      <w:r w:rsidR="002F18A3" w:rsidRPr="002F18A3">
        <w:t xml:space="preserve"> </w:t>
      </w:r>
      <w:proofErr w:type="gramStart"/>
      <w:r w:rsidR="002F18A3">
        <w:t xml:space="preserve">В </w:t>
      </w:r>
      <w:r w:rsidR="002F18A3" w:rsidRPr="00074C5B">
        <w:t xml:space="preserve">[7] </w:t>
      </w:r>
      <w:r w:rsidR="00074C5B">
        <w:t xml:space="preserve">представлена антенна с линейной поляризацией, </w:t>
      </w:r>
      <w:r w:rsidR="000917FF">
        <w:t>она имеет высокий КУ, который дополнительно можно повысить за счет создания решетки 2х2, при этом пожертвовав шириной полосы рабочих частот.</w:t>
      </w:r>
      <w:proofErr w:type="gramEnd"/>
      <w:r w:rsidR="000917FF">
        <w:t xml:space="preserve"> В </w:t>
      </w:r>
      <w:r w:rsidR="000917FF" w:rsidRPr="000917FF">
        <w:t>[8]</w:t>
      </w:r>
      <w:r w:rsidR="000917FF">
        <w:t xml:space="preserve"> представлена </w:t>
      </w:r>
      <w:proofErr w:type="spellStart"/>
      <w:r w:rsidR="000917FF">
        <w:t>двухрезонаторная</w:t>
      </w:r>
      <w:proofErr w:type="spellEnd"/>
      <w:r w:rsidR="000917FF">
        <w:t xml:space="preserve"> антенна, формирующая </w:t>
      </w:r>
      <w:r w:rsidR="001A1F6E">
        <w:t>третий</w:t>
      </w:r>
      <w:r w:rsidR="000917FF">
        <w:t xml:space="preserve"> резонанс</w:t>
      </w:r>
      <w:r w:rsidR="002C7F21">
        <w:t xml:space="preserve"> за счет сложения</w:t>
      </w:r>
      <w:r w:rsidR="001A1F6E">
        <w:t xml:space="preserve"> </w:t>
      </w:r>
      <w:r w:rsidR="00462E64">
        <w:t>первого и второго</w:t>
      </w:r>
      <w:r w:rsidR="00462E64" w:rsidRPr="00462E64">
        <w:t xml:space="preserve">; </w:t>
      </w:r>
      <w:r w:rsidR="001A1F6E">
        <w:t xml:space="preserve">поскольку каждый резонанс имеет собственную частоту, то при сложении рабочая полоса становится шире, а </w:t>
      </w:r>
      <w:proofErr w:type="gramStart"/>
      <w:r w:rsidR="001A1F6E">
        <w:t>размеры антенны остаются малыми,</w:t>
      </w:r>
      <w:r w:rsidR="000917FF">
        <w:t xml:space="preserve"> однако ширина рабочей полосы составляет все</w:t>
      </w:r>
      <w:r w:rsidR="002C7F21">
        <w:t>го</w:t>
      </w:r>
      <w:r w:rsidR="000917FF">
        <w:t xml:space="preserve"> 2,3%. В </w:t>
      </w:r>
      <w:r w:rsidR="000917FF" w:rsidRPr="000917FF">
        <w:t xml:space="preserve">[9] </w:t>
      </w:r>
      <w:r w:rsidR="000917FF">
        <w:t xml:space="preserve">проводилось </w:t>
      </w:r>
      <w:r w:rsidR="000917FF" w:rsidRPr="000917FF">
        <w:t xml:space="preserve">сравнение антенн с внутренней полостью с </w:t>
      </w:r>
      <w:r w:rsidR="0015552D">
        <w:t>одной</w:t>
      </w:r>
      <w:r w:rsidR="000917FF" w:rsidRPr="000917FF">
        <w:t xml:space="preserve"> щелью, </w:t>
      </w:r>
      <w:r w:rsidR="0015552D">
        <w:t>двумя</w:t>
      </w:r>
      <w:r w:rsidR="000917FF" w:rsidRPr="000917FF">
        <w:t xml:space="preserve"> щелями и решетки 2х2 с целью оценки роста КУ и согласования в полосе рабочих частот; </w:t>
      </w:r>
      <w:r w:rsidR="000917FF">
        <w:t xml:space="preserve">сравнение показало, </w:t>
      </w:r>
      <w:r w:rsidR="000917FF" w:rsidRPr="000917FF">
        <w:t>что в решетк</w:t>
      </w:r>
      <w:r w:rsidR="000917FF">
        <w:t>е</w:t>
      </w:r>
      <w:r w:rsidR="000917FF" w:rsidRPr="000917FF">
        <w:t xml:space="preserve"> сузилась рабочая полоса частот с 1,8% до 1,4%, при этом улучшилось согласование.</w:t>
      </w:r>
      <w:proofErr w:type="gramEnd"/>
      <w:r w:rsidR="000917FF" w:rsidRPr="000917FF">
        <w:t xml:space="preserve"> Также при добавлении </w:t>
      </w:r>
      <w:r w:rsidR="0015552D">
        <w:t>второй</w:t>
      </w:r>
      <w:r w:rsidR="000917FF" w:rsidRPr="000917FF">
        <w:t xml:space="preserve"> щели и формировании решетки сильно увеличился КУ</w:t>
      </w:r>
      <w:r w:rsidR="000917FF">
        <w:t xml:space="preserve">. В </w:t>
      </w:r>
      <w:r w:rsidR="000917FF" w:rsidRPr="000917FF">
        <w:t xml:space="preserve">[10] </w:t>
      </w:r>
      <w:r w:rsidR="000917FF">
        <w:t xml:space="preserve">представлена антенна-бабочка, </w:t>
      </w:r>
      <w:r w:rsidR="000917FF" w:rsidRPr="000917FF">
        <w:t xml:space="preserve">имеющая благодаря объединению двух типов антенн достаточно широкую полосу частот </w:t>
      </w:r>
      <w:r w:rsidR="000917FF">
        <w:t>(</w:t>
      </w:r>
      <w:r w:rsidR="000917FF" w:rsidRPr="000917FF">
        <w:t>9,2%</w:t>
      </w:r>
      <w:r w:rsidR="000917FF">
        <w:t xml:space="preserve">) и </w:t>
      </w:r>
      <w:proofErr w:type="gramStart"/>
      <w:r w:rsidR="000917FF">
        <w:t>высокий</w:t>
      </w:r>
      <w:proofErr w:type="gramEnd"/>
      <w:r w:rsidR="000917FF">
        <w:t xml:space="preserve"> КУ</w:t>
      </w:r>
      <w:r w:rsidR="0015552D">
        <w:t>, при этом для создания круговой поляризации имеются сложности с подводом питания к излучателям.</w:t>
      </w:r>
    </w:p>
    <w:p w14:paraId="47E9661C" w14:textId="77777777" w:rsidR="00137BF5" w:rsidRDefault="00831216" w:rsidP="006528DD">
      <w:pPr>
        <w:pStyle w:val="a4"/>
      </w:pPr>
      <w:r>
        <w:t>Все вышеописанные антенны имеют похожий принцип работы, и целью данных статей зачастую является повышение полосы рабочих частот, КУ и при этом одновременная минимизация и упрощение для снижения стоимости изготовления</w:t>
      </w:r>
      <w:r w:rsidR="00137BF5">
        <w:t>.</w:t>
      </w:r>
      <w:r w:rsidR="00137BF5" w:rsidRPr="00137BF5">
        <w:t xml:space="preserve"> </w:t>
      </w:r>
      <w:r w:rsidR="00137BF5">
        <w:t>Однако создание двух круговых поляризаций в единичной антенне рассматривается крайне редко.</w:t>
      </w:r>
    </w:p>
    <w:p w14:paraId="551F9B09" w14:textId="468DC5C8" w:rsidR="000917FF" w:rsidRPr="000917FF" w:rsidRDefault="00831216" w:rsidP="006528DD">
      <w:pPr>
        <w:pStyle w:val="a4"/>
      </w:pPr>
      <w:r>
        <w:t xml:space="preserve">В данной </w:t>
      </w:r>
      <w:r w:rsidR="007B215C">
        <w:t>статье</w:t>
      </w:r>
      <w:r>
        <w:t xml:space="preserve"> </w:t>
      </w:r>
      <w:r w:rsidR="007B215C">
        <w:t>особое внимание будет уделено работе исследуемой антенны в двухканальном режиме, поскольку за счет этого будет возможность иметь обе круговые поляризации, это сильно расширит область возможных применений в различных сферах науки и техники.</w:t>
      </w:r>
    </w:p>
    <w:p w14:paraId="05121190" w14:textId="1109C47C" w:rsidR="00C226D7" w:rsidRPr="00E51999" w:rsidRDefault="00227028" w:rsidP="00E51999">
      <w:pPr>
        <w:pStyle w:val="afe"/>
        <w:framePr w:wrap="notBeside"/>
      </w:pPr>
      <w:r w:rsidRPr="00E51999">
        <w:t>Исследование выполнено за счет гранта Российского научного фонда №25-19-20106, https://rscf.ru/project/25-19-20106/, гранта Красноярского краевого фонда науки.</w:t>
      </w:r>
    </w:p>
    <w:p w14:paraId="6320AA56" w14:textId="2B96BA69" w:rsidR="005136FF" w:rsidRPr="00D55F83" w:rsidRDefault="00D55F83" w:rsidP="00D55F83">
      <w:pPr>
        <w:pStyle w:val="1"/>
      </w:pPr>
      <w:r w:rsidRPr="00D55F83">
        <w:t>Конструкция предложенной антенны</w:t>
      </w:r>
    </w:p>
    <w:p w14:paraId="6144F854" w14:textId="1C731FEF" w:rsidR="00C51143" w:rsidRDefault="002A4289" w:rsidP="002A4289">
      <w:pPr>
        <w:ind w:firstLine="289"/>
        <w:jc w:val="both"/>
      </w:pPr>
      <w:proofErr w:type="gramStart"/>
      <w:r>
        <w:t>Разрабатываемая антенна моделировалась</w:t>
      </w:r>
      <w:r w:rsidR="00C51143">
        <w:t xml:space="preserve"> в</w:t>
      </w:r>
      <w:r w:rsidR="00C51143" w:rsidRPr="00C51143">
        <w:t xml:space="preserve"> </w:t>
      </w:r>
      <w:r w:rsidR="00C51143">
        <w:t xml:space="preserve">специализированном САПР СВЧ устройств методом </w:t>
      </w:r>
      <w:r w:rsidR="00CF6A32">
        <w:t>конечных элементов</w:t>
      </w:r>
      <w:r w:rsidR="00C51143" w:rsidRPr="00C51143">
        <w:t xml:space="preserve">; </w:t>
      </w:r>
      <w:r w:rsidR="00C51143">
        <w:t>в качестве исходной формы излучателя была взята форма из</w:t>
      </w:r>
      <w:r>
        <w:t xml:space="preserve"> </w:t>
      </w:r>
      <w:r w:rsidRPr="00652296">
        <w:t>[11]</w:t>
      </w:r>
      <w:r w:rsidR="00C51143">
        <w:t>.</w:t>
      </w:r>
      <w:proofErr w:type="gramEnd"/>
      <w:r w:rsidR="00D94DC9">
        <w:t xml:space="preserve"> Особое внимание будет уделено разработке схемы питания двухканальной антенны круговой поляризации.</w:t>
      </w:r>
    </w:p>
    <w:p w14:paraId="108A78AE" w14:textId="77777777" w:rsidR="005136FF" w:rsidRPr="00264B09" w:rsidRDefault="005136FF" w:rsidP="005136FF">
      <w:pPr>
        <w:pStyle w:val="2"/>
        <w:tabs>
          <w:tab w:val="clear" w:pos="360"/>
          <w:tab w:val="num" w:pos="288"/>
          <w:tab w:val="num" w:pos="1070"/>
        </w:tabs>
      </w:pPr>
      <w:r>
        <w:lastRenderedPageBreak/>
        <w:t>Схема питания</w:t>
      </w:r>
    </w:p>
    <w:p w14:paraId="2B446116" w14:textId="3EB203C9" w:rsidR="005136FF" w:rsidRPr="00EC0179" w:rsidRDefault="005136FF" w:rsidP="005136FF">
      <w:pPr>
        <w:pStyle w:val="a4"/>
      </w:pPr>
      <w:r>
        <w:t>Данная антенна имеет следующую схему питания: два коаксиальных кабеля, на которые подается мощность</w:t>
      </w:r>
      <w:r w:rsidR="00AF0F06">
        <w:t xml:space="preserve"> (1 и 2 на рис.</w:t>
      </w:r>
      <w:r w:rsidR="00BA6D52">
        <w:t> </w:t>
      </w:r>
      <w:r w:rsidR="00AF0F06">
        <w:t>1)</w:t>
      </w:r>
      <w:r>
        <w:t xml:space="preserve">, соединены с двумя входами квадратурного делителя, после </w:t>
      </w:r>
      <w:proofErr w:type="gramStart"/>
      <w:r>
        <w:t>прохождения</w:t>
      </w:r>
      <w:proofErr w:type="gramEnd"/>
      <w:r>
        <w:t xml:space="preserve"> которого мощность делится пополам, при этом на одном из выходов набегает фазовая задержка, равная 90°. После квадратурного делителя мощность по МПЛ попадает в </w:t>
      </w:r>
      <w:proofErr w:type="spellStart"/>
      <w:r>
        <w:t>меандровую</w:t>
      </w:r>
      <w:proofErr w:type="spellEnd"/>
      <w:r>
        <w:t xml:space="preserve"> линию: МПЛ на подложке</w:t>
      </w:r>
      <w:r w:rsidR="00D11F76">
        <w:t xml:space="preserve"> 1</w:t>
      </w:r>
      <w:r>
        <w:t xml:space="preserve"> выходит с делителя без фазовой задержки</w:t>
      </w:r>
      <w:r w:rsidR="00AF0F06">
        <w:t xml:space="preserve"> (0°)</w:t>
      </w:r>
      <w:r>
        <w:t xml:space="preserve"> и идет к </w:t>
      </w:r>
      <w:proofErr w:type="spellStart"/>
      <w:r>
        <w:t>меандровой</w:t>
      </w:r>
      <w:proofErr w:type="spellEnd"/>
      <w:r>
        <w:t xml:space="preserve"> линии, а МПЛ с подложки</w:t>
      </w:r>
      <w:r w:rsidR="00D11F76">
        <w:t xml:space="preserve"> 2</w:t>
      </w:r>
      <w:r>
        <w:t xml:space="preserve"> выходит с задержкой</w:t>
      </w:r>
      <w:r w:rsidR="00AF0F06">
        <w:t xml:space="preserve"> в 90°</w:t>
      </w:r>
      <w:r>
        <w:t xml:space="preserve"> и с помощью межслойного перехода в виде металлического стержня попадает на нижний слой, где повторяет форму топологии линий сверху</w:t>
      </w:r>
      <w:r w:rsidR="00AF0F06">
        <w:t>.</w:t>
      </w:r>
      <w:r>
        <w:t xml:space="preserve"> </w:t>
      </w:r>
      <w:r w:rsidR="00AF0F06">
        <w:t>К</w:t>
      </w:r>
      <w:r>
        <w:t>ак было описано выше, это необходимо для достижения двух круговых поляризаций. Таким образом, с каждого входа квадратурного делителя мощность делится на 4 выхода в равных долях, при этом два выхода находятся в фазе и другие два с фазовым сдвигом 90°, что обеспечивает возбуждение антенны в квадратуре. Схема питания рассматриваемой антенны представлена на рис</w:t>
      </w:r>
      <w:r w:rsidR="00BA6D52">
        <w:t>. </w:t>
      </w:r>
      <w:r>
        <w:t>1, номера входных и выходных портов отмечены цифрами.</w:t>
      </w:r>
    </w:p>
    <w:p w14:paraId="794D5378" w14:textId="4E480CE6" w:rsidR="005136FF" w:rsidRPr="006141B1" w:rsidRDefault="005136FF" w:rsidP="005136FF">
      <w:pPr>
        <w:pStyle w:val="a4"/>
        <w:ind w:firstLine="0"/>
        <w:jc w:val="center"/>
        <w:rPr>
          <w:noProof/>
          <w:lang w:eastAsia="ru-RU"/>
        </w:rPr>
      </w:pPr>
      <w:r w:rsidRPr="001B44C0">
        <w:rPr>
          <w:noProof/>
          <w:lang w:eastAsia="ru-RU"/>
        </w:rPr>
        <w:drawing>
          <wp:inline distT="0" distB="0" distL="0" distR="0" wp14:anchorId="6701CAA5" wp14:editId="2098C652">
            <wp:extent cx="3034665" cy="30067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34665" cy="300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81190" w14:textId="77777777" w:rsidR="005136FF" w:rsidRPr="00A574E1" w:rsidRDefault="005136FF" w:rsidP="005136FF">
      <w:pPr>
        <w:pStyle w:val="figurecaption"/>
      </w:pPr>
      <w:r>
        <w:rPr>
          <w:lang w:val="ru-RU"/>
        </w:rPr>
        <w:t>Схема питания щелевой антенны</w:t>
      </w:r>
    </w:p>
    <w:p w14:paraId="4D169B9A" w14:textId="4CDFB255" w:rsidR="005136FF" w:rsidRDefault="005136FF" w:rsidP="005136FF">
      <w:pPr>
        <w:ind w:firstLine="289"/>
        <w:jc w:val="both"/>
      </w:pPr>
      <w:r>
        <w:t>На рис</w:t>
      </w:r>
      <w:r w:rsidR="00BA6D52">
        <w:t>.</w:t>
      </w:r>
      <w:r>
        <w:t xml:space="preserve"> 2</w:t>
      </w:r>
      <w:r w:rsidR="00BA6D52">
        <w:t>–</w:t>
      </w:r>
      <w:r>
        <w:t xml:space="preserve">5 представлены графики амплитудно-частотной характеристики (АЧХ) и </w:t>
      </w:r>
      <w:proofErr w:type="spellStart"/>
      <w:r>
        <w:t>фазо</w:t>
      </w:r>
      <w:proofErr w:type="spellEnd"/>
      <w:r>
        <w:t xml:space="preserve">-частотной характеристики (ФЧХ) схемы питания. На графиках АЧХ </w:t>
      </w:r>
      <w:r w:rsidR="00421821">
        <w:t>наблюдается</w:t>
      </w:r>
      <w:r>
        <w:t xml:space="preserve"> </w:t>
      </w:r>
      <w:r w:rsidR="00421821">
        <w:t>разброс амплитуды в рабочей полосе частот</w:t>
      </w:r>
      <w:r w:rsidR="00EB27B5">
        <w:t xml:space="preserve"> 1,45-1,55 ГГц</w:t>
      </w:r>
      <w:r w:rsidR="00421821">
        <w:t xml:space="preserve"> от -6,86 дБ до -6,09 дБ для</w:t>
      </w:r>
      <w:r w:rsidR="00E4415C">
        <w:t xml:space="preserve"> </w:t>
      </w:r>
      <w:r w:rsidR="00421821">
        <w:t>порта</w:t>
      </w:r>
      <w:r w:rsidR="00E4415C">
        <w:t xml:space="preserve"> 1</w:t>
      </w:r>
      <w:r w:rsidR="00421821">
        <w:t xml:space="preserve"> и от -6,66 дБ до -6 дБ</w:t>
      </w:r>
      <w:r w:rsidR="009220D8">
        <w:t xml:space="preserve"> для порта</w:t>
      </w:r>
      <w:r w:rsidR="00E4415C">
        <w:t xml:space="preserve"> 2</w:t>
      </w:r>
      <w:r>
        <w:t xml:space="preserve">. </w:t>
      </w:r>
      <w:proofErr w:type="gramStart"/>
      <w:r>
        <w:t xml:space="preserve">По графикам ФЧХ можно сделать вывод, что выходы МПЛ на </w:t>
      </w:r>
      <w:r w:rsidR="006D31F3">
        <w:t>подложке 1</w:t>
      </w:r>
      <w:r>
        <w:t xml:space="preserve"> (</w:t>
      </w:r>
      <w:r w:rsidRPr="005408EA">
        <w:rPr>
          <w:i/>
          <w:iCs/>
        </w:rPr>
        <w:t xml:space="preserve">S31 </w:t>
      </w:r>
      <w:r>
        <w:t xml:space="preserve">и </w:t>
      </w:r>
      <w:r w:rsidRPr="005408EA">
        <w:rPr>
          <w:i/>
          <w:iCs/>
        </w:rPr>
        <w:t>S4</w:t>
      </w:r>
      <w:r>
        <w:rPr>
          <w:i/>
          <w:iCs/>
        </w:rPr>
        <w:t xml:space="preserve">1, </w:t>
      </w:r>
      <w:r w:rsidRPr="005408EA">
        <w:rPr>
          <w:i/>
          <w:iCs/>
        </w:rPr>
        <w:t>S3</w:t>
      </w:r>
      <w:r>
        <w:rPr>
          <w:i/>
          <w:iCs/>
        </w:rPr>
        <w:t>2</w:t>
      </w:r>
      <w:r w:rsidRPr="005408EA">
        <w:rPr>
          <w:i/>
          <w:iCs/>
        </w:rPr>
        <w:t xml:space="preserve"> </w:t>
      </w:r>
      <w:r>
        <w:t xml:space="preserve">и </w:t>
      </w:r>
      <w:r w:rsidRPr="005408EA">
        <w:rPr>
          <w:i/>
          <w:iCs/>
        </w:rPr>
        <w:t>S4</w:t>
      </w:r>
      <w:r>
        <w:rPr>
          <w:i/>
          <w:iCs/>
        </w:rPr>
        <w:t>2</w:t>
      </w:r>
      <w:r w:rsidRPr="005408EA">
        <w:t>)</w:t>
      </w:r>
      <w:r>
        <w:t xml:space="preserve"> и подложке </w:t>
      </w:r>
      <w:r w:rsidR="006D31F3">
        <w:t>2</w:t>
      </w:r>
      <w:r>
        <w:t>(</w:t>
      </w:r>
      <w:r w:rsidRPr="005408EA">
        <w:rPr>
          <w:i/>
          <w:iCs/>
        </w:rPr>
        <w:t>S51</w:t>
      </w:r>
      <w:r>
        <w:t xml:space="preserve"> и </w:t>
      </w:r>
      <w:r w:rsidRPr="005408EA">
        <w:rPr>
          <w:i/>
          <w:iCs/>
        </w:rPr>
        <w:t>S61</w:t>
      </w:r>
      <w:r>
        <w:rPr>
          <w:i/>
          <w:iCs/>
        </w:rPr>
        <w:t xml:space="preserve">, </w:t>
      </w:r>
      <w:r w:rsidRPr="005408EA">
        <w:rPr>
          <w:i/>
          <w:iCs/>
        </w:rPr>
        <w:t>S5</w:t>
      </w:r>
      <w:r>
        <w:rPr>
          <w:i/>
          <w:iCs/>
        </w:rPr>
        <w:t>2</w:t>
      </w:r>
      <w:r>
        <w:t xml:space="preserve"> и </w:t>
      </w:r>
      <w:r w:rsidRPr="005408EA">
        <w:rPr>
          <w:i/>
          <w:iCs/>
        </w:rPr>
        <w:t>S6</w:t>
      </w:r>
      <w:r>
        <w:rPr>
          <w:i/>
          <w:iCs/>
        </w:rPr>
        <w:t>2</w:t>
      </w:r>
      <w:r w:rsidRPr="005408EA">
        <w:t>)</w:t>
      </w:r>
      <w:r>
        <w:t xml:space="preserve"> попарно </w:t>
      </w:r>
      <w:proofErr w:type="spellStart"/>
      <w:r>
        <w:t>синфазны</w:t>
      </w:r>
      <w:proofErr w:type="spellEnd"/>
      <w:r w:rsidR="00E4415C">
        <w:t xml:space="preserve"> с</w:t>
      </w:r>
      <w:r w:rsidR="00E452F8">
        <w:t>о средним</w:t>
      </w:r>
      <w:r w:rsidR="00E4415C">
        <w:t xml:space="preserve"> разбросом в 2,5</w:t>
      </w:r>
      <w:r w:rsidR="00E452F8">
        <w:t>°</w:t>
      </w:r>
      <w:r w:rsidR="00E4415C">
        <w:t xml:space="preserve"> для порта 1 и 1,5</w:t>
      </w:r>
      <w:r w:rsidR="00E452F8">
        <w:t>°</w:t>
      </w:r>
      <w:r w:rsidR="00E4415C">
        <w:t xml:space="preserve"> для порта 2</w:t>
      </w:r>
      <w:r>
        <w:t>, а между парами наблюдается разность фаз в 90°</w:t>
      </w:r>
      <w:r w:rsidR="00E452F8">
        <w:t xml:space="preserve"> со средним разбросом в 2° для порта 1 и 3</w:t>
      </w:r>
      <w:proofErr w:type="gramEnd"/>
      <w:r w:rsidR="00E452F8">
        <w:t>° для порта 2</w:t>
      </w:r>
      <w:r>
        <w:t>.</w:t>
      </w:r>
    </w:p>
    <w:p w14:paraId="775C3810" w14:textId="77777777" w:rsidR="005136FF" w:rsidRDefault="005136FF" w:rsidP="001E5500">
      <w:pPr>
        <w:jc w:val="both"/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</w:tblGrid>
      <w:tr w:rsidR="005136FF" w14:paraId="49C39CA7" w14:textId="77777777" w:rsidTr="00E04E0E">
        <w:tc>
          <w:tcPr>
            <w:tcW w:w="4856" w:type="dxa"/>
          </w:tcPr>
          <w:p w14:paraId="27DFA4D7" w14:textId="2539FA41" w:rsidR="005136FF" w:rsidRDefault="001E5500" w:rsidP="00E04E0E">
            <w:pPr>
              <w:jc w:val="both"/>
            </w:pPr>
            <w:r>
              <w:rPr>
                <w:lang w:eastAsia="en-US"/>
              </w:rPr>
              <w:object w:dxaOrig="5710" w:dyaOrig="4550" w14:anchorId="3D0DB0F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2.5pt;height:194pt" o:ole="">
                  <v:imagedata r:id="rId11" o:title=""/>
                </v:shape>
                <o:OLEObject Type="Embed" ProgID="SigmaPlotGraphicObject.11" ShapeID="_x0000_i1025" DrawAspect="Content" ObjectID="_1819188192" r:id="rId12"/>
              </w:object>
            </w:r>
          </w:p>
        </w:tc>
      </w:tr>
      <w:tr w:rsidR="005136FF" w:rsidRPr="00DC0A37" w14:paraId="51683770" w14:textId="77777777" w:rsidTr="00E04E0E">
        <w:tc>
          <w:tcPr>
            <w:tcW w:w="4856" w:type="dxa"/>
          </w:tcPr>
          <w:p w14:paraId="705D969F" w14:textId="77777777" w:rsidR="005136FF" w:rsidRDefault="005136FF" w:rsidP="00E04E0E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График АЧХ схемы питания для порта 1</w:t>
            </w:r>
          </w:p>
        </w:tc>
      </w:tr>
      <w:tr w:rsidR="005136FF" w14:paraId="422DB562" w14:textId="77777777" w:rsidTr="00E04E0E">
        <w:tc>
          <w:tcPr>
            <w:tcW w:w="4856" w:type="dxa"/>
          </w:tcPr>
          <w:p w14:paraId="2623B043" w14:textId="0FF167EA" w:rsidR="005136FF" w:rsidRDefault="001E5500" w:rsidP="00E04E0E">
            <w:r>
              <w:rPr>
                <w:lang w:eastAsia="en-US"/>
              </w:rPr>
              <w:object w:dxaOrig="5710" w:dyaOrig="4550" w14:anchorId="6C18FFA9">
                <v:shape id="_x0000_i1026" type="#_x0000_t75" style="width:242.5pt;height:194pt" o:ole="">
                  <v:imagedata r:id="rId13" o:title=""/>
                </v:shape>
                <o:OLEObject Type="Embed" ProgID="SigmaPlotGraphicObject.11" ShapeID="_x0000_i1026" DrawAspect="Content" ObjectID="_1819188193" r:id="rId14"/>
              </w:object>
            </w:r>
          </w:p>
        </w:tc>
      </w:tr>
      <w:tr w:rsidR="005136FF" w:rsidRPr="000C58E0" w14:paraId="2D3B8D50" w14:textId="77777777" w:rsidTr="00E04E0E">
        <w:tc>
          <w:tcPr>
            <w:tcW w:w="4856" w:type="dxa"/>
          </w:tcPr>
          <w:p w14:paraId="6E944F88" w14:textId="77777777" w:rsidR="005136FF" w:rsidRDefault="005136FF" w:rsidP="00E04E0E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График АЧХ схемы питания для порта 2</w:t>
            </w:r>
          </w:p>
          <w:p w14:paraId="4ABC19EE" w14:textId="09035C30" w:rsidR="005136FF" w:rsidRPr="002C359F" w:rsidRDefault="001E5500" w:rsidP="00E04E0E">
            <w:pPr>
              <w:pStyle w:val="figurecaption"/>
              <w:numPr>
                <w:ilvl w:val="0"/>
                <w:numId w:val="0"/>
              </w:numPr>
              <w:rPr>
                <w:lang w:val="ru-RU"/>
              </w:rPr>
            </w:pPr>
            <w:r>
              <w:rPr>
                <w:lang w:eastAsia="en-US"/>
              </w:rPr>
              <w:object w:dxaOrig="5710" w:dyaOrig="4550" w14:anchorId="08E7CC59">
                <v:shape id="_x0000_i1027" type="#_x0000_t75" style="width:242.5pt;height:194pt" o:ole="">
                  <v:imagedata r:id="rId15" o:title=""/>
                </v:shape>
                <o:OLEObject Type="Embed" ProgID="SigmaPlotGraphicObject.11" ShapeID="_x0000_i1027" DrawAspect="Content" ObjectID="_1819188194" r:id="rId16"/>
              </w:object>
            </w:r>
          </w:p>
        </w:tc>
      </w:tr>
      <w:tr w:rsidR="005136FF" w:rsidRPr="00DC0A37" w14:paraId="6C43D685" w14:textId="77777777" w:rsidTr="00E04E0E">
        <w:tc>
          <w:tcPr>
            <w:tcW w:w="4856" w:type="dxa"/>
          </w:tcPr>
          <w:p w14:paraId="60A90556" w14:textId="77777777" w:rsidR="005136FF" w:rsidRDefault="005136FF" w:rsidP="00E04E0E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График ФЧХ схемы питания для порта 1</w:t>
            </w:r>
          </w:p>
          <w:p w14:paraId="4F3E94D3" w14:textId="3F170EEB" w:rsidR="005136FF" w:rsidRDefault="001E5500" w:rsidP="00E04E0E">
            <w:pPr>
              <w:pStyle w:val="figurecaption"/>
              <w:numPr>
                <w:ilvl w:val="0"/>
                <w:numId w:val="0"/>
              </w:numPr>
              <w:rPr>
                <w:lang w:val="ru-RU"/>
              </w:rPr>
            </w:pPr>
            <w:r>
              <w:rPr>
                <w:lang w:eastAsia="en-US"/>
              </w:rPr>
              <w:object w:dxaOrig="5750" w:dyaOrig="4550" w14:anchorId="19F56C3D">
                <v:shape id="_x0000_i1028" type="#_x0000_t75" style="width:242.5pt;height:192.5pt" o:ole="">
                  <v:imagedata r:id="rId17" o:title=""/>
                </v:shape>
                <o:OLEObject Type="Embed" ProgID="SigmaPlotGraphicObject.11" ShapeID="_x0000_i1028" DrawAspect="Content" ObjectID="_1819188195" r:id="rId18"/>
              </w:object>
            </w:r>
          </w:p>
          <w:p w14:paraId="2EE041AA" w14:textId="77777777" w:rsidR="005136FF" w:rsidRPr="00D766F4" w:rsidRDefault="005136FF" w:rsidP="00E04E0E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График ФЧХ схемы питания для порта 2</w:t>
            </w:r>
          </w:p>
        </w:tc>
      </w:tr>
    </w:tbl>
    <w:p w14:paraId="01899C43" w14:textId="77777777" w:rsidR="005136FF" w:rsidRPr="00D0185C" w:rsidRDefault="005136FF" w:rsidP="005136FF">
      <w:pPr>
        <w:pStyle w:val="2"/>
      </w:pPr>
      <w:r>
        <w:lastRenderedPageBreak/>
        <w:t>Полость-резонатор и излучающие щели</w:t>
      </w:r>
    </w:p>
    <w:p w14:paraId="173C7834" w14:textId="2618476A" w:rsidR="005136FF" w:rsidRDefault="005136FF" w:rsidP="005136FF">
      <w:pPr>
        <w:pStyle w:val="a4"/>
      </w:pPr>
      <w:r>
        <w:t xml:space="preserve">В качестве излучающего элемента в данной антенне используются щели объемного резонатора, возбуждаемые с помощью изогнутой МПЛ с формой меандра, к которым подведены </w:t>
      </w:r>
      <w:r w:rsidR="00EB27B5">
        <w:t>линии</w:t>
      </w:r>
      <w:r>
        <w:t xml:space="preserve"> от схемы питания. Излучение происходит следующим образом: настроенная схема питания в резонанс (1,5 ГГц) передает поделенную мощность на меандровые линии, также настроенные на резонансную частоту. </w:t>
      </w:r>
      <w:r w:rsidR="000715C6">
        <w:t xml:space="preserve">Затем </w:t>
      </w:r>
      <w:r>
        <w:t>колебание</w:t>
      </w:r>
      <w:r w:rsidR="000715C6">
        <w:t xml:space="preserve"> передается</w:t>
      </w:r>
      <w:r w:rsidRPr="00051105">
        <w:t xml:space="preserve"> </w:t>
      </w:r>
      <w:r>
        <w:t>в</w:t>
      </w:r>
      <w:r w:rsidRPr="00051105">
        <w:t xml:space="preserve"> </w:t>
      </w:r>
      <w:r>
        <w:t>объемн</w:t>
      </w:r>
      <w:r w:rsidR="000715C6">
        <w:t>ый</w:t>
      </w:r>
      <w:r>
        <w:t xml:space="preserve"> резонатор, который представляет собой крестообразную полость высотой 5,5 мм и находится под верхним экраном и подложками из фторопласта (диэлектрическая проницаемость 2,1, тангенс угла потерь 0,0002),</w:t>
      </w:r>
      <w:r w:rsidR="000715C6">
        <w:t xml:space="preserve"> где усиливается и</w:t>
      </w:r>
      <w:r>
        <w:t xml:space="preserve"> излучается щелями</w:t>
      </w:r>
      <w:r w:rsidR="00EA37A2">
        <w:t xml:space="preserve"> резонатора</w:t>
      </w:r>
      <w:r>
        <w:t>, образуя сферический волновой фронт.</w:t>
      </w:r>
    </w:p>
    <w:p w14:paraId="05DC2FC6" w14:textId="118ADB8D" w:rsidR="005136FF" w:rsidRPr="00B727F8" w:rsidRDefault="005136FF" w:rsidP="00B727F8">
      <w:pPr>
        <w:pStyle w:val="a4"/>
      </w:pPr>
      <w:r>
        <w:t xml:space="preserve">Форма меандра для возбуждающей линии выбрана для уменьшения реактивного сопротивления и повышения согласования со схемой питания. Одна из таких МПЛ изображена над </w:t>
      </w:r>
      <w:proofErr w:type="gramStart"/>
      <w:r>
        <w:t>полостью-резонаторов</w:t>
      </w:r>
      <w:proofErr w:type="gramEnd"/>
      <w:r>
        <w:t xml:space="preserve"> на рис</w:t>
      </w:r>
      <w:r w:rsidR="00BA6D52">
        <w:t>.</w:t>
      </w:r>
      <w:r>
        <w:t xml:space="preserve"> </w:t>
      </w:r>
      <w:r w:rsidRPr="002D16AF">
        <w:t>6</w:t>
      </w:r>
      <w:r>
        <w:t>.</w:t>
      </w:r>
    </w:p>
    <w:tbl>
      <w:tblPr>
        <w:tblW w:w="4957" w:type="dxa"/>
        <w:jc w:val="center"/>
        <w:tblLook w:val="04A0" w:firstRow="1" w:lastRow="0" w:firstColumn="1" w:lastColumn="0" w:noHBand="0" w:noVBand="1"/>
      </w:tblPr>
      <w:tblGrid>
        <w:gridCol w:w="4957"/>
      </w:tblGrid>
      <w:tr w:rsidR="005136FF" w:rsidRPr="00DC0A37" w14:paraId="7B3EF7C2" w14:textId="77777777" w:rsidTr="00E04E0E">
        <w:trPr>
          <w:trHeight w:val="3376"/>
          <w:jc w:val="center"/>
        </w:trPr>
        <w:tc>
          <w:tcPr>
            <w:tcW w:w="4957" w:type="dxa"/>
            <w:shd w:val="clear" w:color="auto" w:fill="auto"/>
          </w:tcPr>
          <w:p w14:paraId="611FD3B6" w14:textId="77777777" w:rsidR="005136FF" w:rsidRDefault="005136FF" w:rsidP="00E51999">
            <w:pPr>
              <w:pStyle w:val="af"/>
              <w:spacing w:before="0" w:after="0"/>
              <w:jc w:val="center"/>
            </w:pPr>
            <w:r w:rsidRPr="004349A8">
              <w:rPr>
                <w:noProof/>
              </w:rPr>
              <w:drawing>
                <wp:inline distT="0" distB="0" distL="0" distR="0" wp14:anchorId="79377142" wp14:editId="7A3E04D7">
                  <wp:extent cx="2273300" cy="1905229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7924" cy="1959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21657A" w14:textId="255A59DC" w:rsidR="00480551" w:rsidRPr="00480551" w:rsidRDefault="00480551" w:rsidP="00480551">
            <w:pPr>
              <w:pStyle w:val="figurecaption"/>
              <w:rPr>
                <w:lang w:val="ru-RU" w:eastAsia="ru-RU"/>
              </w:rPr>
            </w:pPr>
            <w:r>
              <w:rPr>
                <w:lang w:val="ru-RU"/>
              </w:rPr>
              <w:t>МПЛ с формой в виде меандра над полостью-резонатором</w:t>
            </w:r>
          </w:p>
        </w:tc>
      </w:tr>
    </w:tbl>
    <w:p w14:paraId="0DECF49F" w14:textId="7F66B5C6" w:rsidR="00811005" w:rsidRDefault="005136FF" w:rsidP="00B727F8">
      <w:pPr>
        <w:pStyle w:val="a4"/>
      </w:pPr>
      <w:r>
        <w:t>На рис</w:t>
      </w:r>
      <w:r w:rsidR="00BA6D52">
        <w:t>.</w:t>
      </w:r>
      <w:r>
        <w:t xml:space="preserve"> 7</w:t>
      </w:r>
      <w:r w:rsidR="00B727F8">
        <w:t>–</w:t>
      </w:r>
      <w:r w:rsidR="00FC6D7C">
        <w:t>8</w:t>
      </w:r>
      <w:r>
        <w:t xml:space="preserve"> представлена модель антенны без схемы питания, которая была возбуждена 4 портами с амплитудно-фазовым распределением</w:t>
      </w:r>
      <w:r w:rsidR="0029167E">
        <w:t xml:space="preserve"> (АФР)</w:t>
      </w:r>
      <w:r>
        <w:t xml:space="preserve">, необходимым для создания </w:t>
      </w:r>
      <w:r w:rsidR="0029167E">
        <w:t xml:space="preserve">правой </w:t>
      </w:r>
      <w:r>
        <w:t>круговой поляризации</w:t>
      </w:r>
      <w:r w:rsidR="008B70BF">
        <w:t xml:space="preserve"> (порт 1 (1</w:t>
      </w:r>
      <w:r w:rsidR="008B70BF" w:rsidRPr="00A50589">
        <w:t>;0°</w:t>
      </w:r>
      <w:r w:rsidR="008B70BF">
        <w:t>)</w:t>
      </w:r>
      <w:r w:rsidR="008B70BF" w:rsidRPr="00A50589">
        <w:t xml:space="preserve">, </w:t>
      </w:r>
      <w:r w:rsidR="008B70BF">
        <w:t xml:space="preserve">порт </w:t>
      </w:r>
      <w:r w:rsidR="008B70BF" w:rsidRPr="00A50589">
        <w:t>2</w:t>
      </w:r>
      <w:r w:rsidR="008B70BF">
        <w:t xml:space="preserve"> (1</w:t>
      </w:r>
      <w:r w:rsidR="008B70BF" w:rsidRPr="00A50589">
        <w:t>;90°</w:t>
      </w:r>
      <w:r w:rsidR="008B70BF">
        <w:t>)</w:t>
      </w:r>
      <w:r w:rsidR="008B70BF" w:rsidRPr="00A50589">
        <w:t xml:space="preserve">, </w:t>
      </w:r>
      <w:r w:rsidR="008B70BF">
        <w:t xml:space="preserve">порт </w:t>
      </w:r>
      <w:r w:rsidR="008B70BF" w:rsidRPr="00A50589">
        <w:t>3</w:t>
      </w:r>
      <w:r w:rsidR="008B70BF">
        <w:t xml:space="preserve"> (1</w:t>
      </w:r>
      <w:r w:rsidR="008B70BF" w:rsidRPr="00A50589">
        <w:t>;0°</w:t>
      </w:r>
      <w:r w:rsidR="008B70BF">
        <w:t>)</w:t>
      </w:r>
      <w:r w:rsidR="008B70BF" w:rsidRPr="00A50589">
        <w:t xml:space="preserve">, </w:t>
      </w:r>
      <w:r w:rsidR="008B70BF">
        <w:t xml:space="preserve">порт </w:t>
      </w:r>
      <w:r w:rsidR="008B70BF" w:rsidRPr="00A50589">
        <w:t>4</w:t>
      </w:r>
      <w:r w:rsidR="008B70BF">
        <w:t xml:space="preserve"> (1</w:t>
      </w:r>
      <w:r w:rsidR="008B70BF" w:rsidRPr="00A50589">
        <w:t>;90°</w:t>
      </w:r>
      <w:r w:rsidR="008B70BF">
        <w:t>))</w:t>
      </w:r>
      <w:r>
        <w:t>. На рис</w:t>
      </w:r>
      <w:r w:rsidR="00BA6D52">
        <w:t>.</w:t>
      </w:r>
      <w:r>
        <w:t xml:space="preserve"> </w:t>
      </w:r>
      <w:r w:rsidR="00FC6D7C">
        <w:t>9</w:t>
      </w:r>
      <w:r>
        <w:t xml:space="preserve"> приведен график </w:t>
      </w:r>
      <w:r w:rsidR="0029167E">
        <w:t xml:space="preserve">частотной </w:t>
      </w:r>
      <w:r>
        <w:t xml:space="preserve">зависимости КПД </w:t>
      </w:r>
      <w:r w:rsidR="0029167E">
        <w:t>при одновременном возбуждении четырех портов антенны АФР, описанным выше</w:t>
      </w:r>
      <w:r>
        <w:t xml:space="preserve">. Из </w:t>
      </w:r>
      <w:r>
        <w:lastRenderedPageBreak/>
        <w:t>данного графика видно, что антенна без схемы питания имеет в полосе частот 1,3-1,7 ГГц КПД выше 90%.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</w:tblGrid>
      <w:tr w:rsidR="005136FF" w14:paraId="3634F5A5" w14:textId="77777777" w:rsidTr="00E04E0E">
        <w:tc>
          <w:tcPr>
            <w:tcW w:w="4866" w:type="dxa"/>
          </w:tcPr>
          <w:p w14:paraId="2D0BBBEB" w14:textId="77777777" w:rsidR="005136FF" w:rsidRDefault="005136FF" w:rsidP="00B727F8">
            <w:pPr>
              <w:jc w:val="center"/>
            </w:pPr>
            <w:r w:rsidRPr="00DC3F53">
              <w:rPr>
                <w:noProof/>
                <w:lang w:eastAsia="ru-RU"/>
              </w:rPr>
              <w:drawing>
                <wp:inline distT="0" distB="0" distL="0" distR="0" wp14:anchorId="40C9F3B3" wp14:editId="4DCB5017">
                  <wp:extent cx="2854267" cy="1092200"/>
                  <wp:effectExtent l="0" t="0" r="381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680" cy="1093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6FF" w:rsidRPr="00DC0A37" w14:paraId="001B42B1" w14:textId="77777777" w:rsidTr="00E04E0E">
        <w:tc>
          <w:tcPr>
            <w:tcW w:w="4866" w:type="dxa"/>
          </w:tcPr>
          <w:p w14:paraId="28C09B87" w14:textId="77777777" w:rsidR="005136FF" w:rsidRDefault="005136FF" w:rsidP="00E04E0E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Модель антенны без схемы питания</w:t>
            </w:r>
          </w:p>
        </w:tc>
      </w:tr>
      <w:tr w:rsidR="00FC6D7C" w:rsidRPr="00DC0A37" w14:paraId="1DC600A5" w14:textId="77777777" w:rsidTr="00E04E0E">
        <w:tc>
          <w:tcPr>
            <w:tcW w:w="4866" w:type="dxa"/>
          </w:tcPr>
          <w:p w14:paraId="245B83F2" w14:textId="77777777" w:rsidR="00FC6D7C" w:rsidRDefault="00FC6D7C" w:rsidP="00B727F8">
            <w:pPr>
              <w:pStyle w:val="figurecaption"/>
              <w:numPr>
                <w:ilvl w:val="0"/>
                <w:numId w:val="0"/>
              </w:numPr>
              <w:jc w:val="center"/>
              <w:rPr>
                <w:lang w:val="ru-RU"/>
              </w:rPr>
            </w:pPr>
            <w:r w:rsidRPr="00FC6D7C">
              <w:rPr>
                <w:lang w:val="ru-RU" w:eastAsia="ru-RU"/>
              </w:rPr>
              <w:drawing>
                <wp:inline distT="0" distB="0" distL="0" distR="0" wp14:anchorId="74F8CEE1" wp14:editId="4747F7DB">
                  <wp:extent cx="2219722" cy="223520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139" cy="2248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B55C3" w14:textId="1A8BB46F" w:rsidR="00FC6D7C" w:rsidRDefault="00FC6D7C" w:rsidP="00FC6D7C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Модель антенны без схемы питания (вид сверху)</w:t>
            </w:r>
          </w:p>
        </w:tc>
      </w:tr>
      <w:tr w:rsidR="005136FF" w14:paraId="3FD895C2" w14:textId="77777777" w:rsidTr="00E04E0E">
        <w:tc>
          <w:tcPr>
            <w:tcW w:w="4866" w:type="dxa"/>
          </w:tcPr>
          <w:p w14:paraId="30DA4011" w14:textId="6EC0A405" w:rsidR="005136FF" w:rsidRDefault="001E5500" w:rsidP="00E04E0E">
            <w:r>
              <w:rPr>
                <w:lang w:eastAsia="en-US"/>
              </w:rPr>
              <w:object w:dxaOrig="5670" w:dyaOrig="4510" w14:anchorId="540C0E69">
                <v:shape id="_x0000_i1029" type="#_x0000_t75" style="width:242.5pt;height:193.5pt" o:ole="">
                  <v:imagedata r:id="rId22" o:title=""/>
                </v:shape>
                <o:OLEObject Type="Embed" ProgID="SigmaPlotGraphicObject.11" ShapeID="_x0000_i1029" DrawAspect="Content" ObjectID="_1819188196" r:id="rId23"/>
              </w:object>
            </w:r>
          </w:p>
        </w:tc>
      </w:tr>
      <w:tr w:rsidR="005136FF" w:rsidRPr="00DC0A37" w14:paraId="62F3FEE8" w14:textId="77777777" w:rsidTr="00E04E0E">
        <w:tc>
          <w:tcPr>
            <w:tcW w:w="4866" w:type="dxa"/>
          </w:tcPr>
          <w:p w14:paraId="72F60392" w14:textId="77777777" w:rsidR="005136FF" w:rsidRPr="00E123A9" w:rsidRDefault="005136FF" w:rsidP="00E04E0E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>График зависимости КПД возбуждающей МПЛ и полости-резонатора от частоты</w:t>
            </w:r>
          </w:p>
        </w:tc>
      </w:tr>
    </w:tbl>
    <w:p w14:paraId="458708AF" w14:textId="77777777" w:rsidR="005136FF" w:rsidRPr="00D0185C" w:rsidRDefault="005136FF" w:rsidP="005136FF">
      <w:pPr>
        <w:pStyle w:val="2"/>
      </w:pPr>
      <w:r>
        <w:t>Антенна в сборе со схемой питания</w:t>
      </w:r>
    </w:p>
    <w:p w14:paraId="68650BD2" w14:textId="0C3F6E34" w:rsidR="005136FF" w:rsidRPr="00D306C9" w:rsidRDefault="005136FF" w:rsidP="005136FF">
      <w:pPr>
        <w:pStyle w:val="a4"/>
        <w:rPr>
          <w:noProof/>
        </w:rPr>
      </w:pPr>
      <w:r>
        <w:t xml:space="preserve">Получившаяся в результате соединения </w:t>
      </w:r>
      <w:r w:rsidR="0029167E">
        <w:t>меа</w:t>
      </w:r>
      <w:r w:rsidR="008C1167">
        <w:t>н</w:t>
      </w:r>
      <w:r w:rsidR="0029167E">
        <w:t xml:space="preserve">дровых </w:t>
      </w:r>
      <w:r>
        <w:t>линий и полости объемного резонатора со схемой питания антенна представлена на рис</w:t>
      </w:r>
      <w:r w:rsidR="00B727F8">
        <w:t>. </w:t>
      </w:r>
      <w:r w:rsidR="00FC6D7C">
        <w:t>10</w:t>
      </w:r>
      <w:r>
        <w:t>.</w:t>
      </w:r>
      <w:r w:rsidRPr="00BA16F3">
        <w:rPr>
          <w:noProof/>
        </w:rPr>
        <w:t xml:space="preserve"> </w:t>
      </w:r>
      <w:r>
        <w:rPr>
          <w:noProof/>
        </w:rPr>
        <w:t>Стоит отметить, что внутренняя полость и экран схемы питания закорочены.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6"/>
      </w:tblGrid>
      <w:tr w:rsidR="005136FF" w14:paraId="570DCB28" w14:textId="77777777" w:rsidTr="00E04E0E">
        <w:tc>
          <w:tcPr>
            <w:tcW w:w="4856" w:type="dxa"/>
          </w:tcPr>
          <w:p w14:paraId="078366DC" w14:textId="77777777" w:rsidR="005136FF" w:rsidRDefault="005136FF" w:rsidP="00E04E0E">
            <w:pPr>
              <w:pStyle w:val="a4"/>
              <w:ind w:firstLine="0"/>
              <w:jc w:val="center"/>
            </w:pPr>
            <w:r w:rsidRPr="0090096F">
              <w:rPr>
                <w:noProof/>
                <w:lang w:eastAsia="ru-RU"/>
              </w:rPr>
              <w:lastRenderedPageBreak/>
              <w:drawing>
                <wp:inline distT="0" distB="0" distL="0" distR="0" wp14:anchorId="1ED18BF0" wp14:editId="4E3972F0">
                  <wp:extent cx="2820442" cy="1993900"/>
                  <wp:effectExtent l="0" t="0" r="0" b="635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/>
                          <a:srcRect t="3855"/>
                          <a:stretch/>
                        </pic:blipFill>
                        <pic:spPr bwMode="auto">
                          <a:xfrm>
                            <a:off x="0" y="0"/>
                            <a:ext cx="2833562" cy="2003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6FF" w:rsidRPr="003D355E" w14:paraId="39C5740C" w14:textId="77777777" w:rsidTr="00E04E0E">
        <w:tc>
          <w:tcPr>
            <w:tcW w:w="4856" w:type="dxa"/>
          </w:tcPr>
          <w:p w14:paraId="47379114" w14:textId="77777777" w:rsidR="005136FF" w:rsidRDefault="005136FF" w:rsidP="00E04E0E">
            <w:pPr>
              <w:pStyle w:val="figurecaption"/>
            </w:pPr>
            <w:r>
              <w:rPr>
                <w:lang w:val="ru-RU"/>
              </w:rPr>
              <w:t>Модель антенны в сборе</w:t>
            </w:r>
          </w:p>
        </w:tc>
      </w:tr>
    </w:tbl>
    <w:p w14:paraId="6E37B378" w14:textId="3C24A45E" w:rsidR="0067460F" w:rsidRPr="0067460F" w:rsidRDefault="00A06B62" w:rsidP="0067460F">
      <w:pPr>
        <w:pStyle w:val="1"/>
      </w:pPr>
      <w:r>
        <w:t>Анализ антенных характеристик</w:t>
      </w:r>
    </w:p>
    <w:p w14:paraId="15CF7506" w14:textId="4746C82E" w:rsidR="0067460F" w:rsidRPr="007275CE" w:rsidRDefault="001021BF" w:rsidP="009278E5">
      <w:pPr>
        <w:pStyle w:val="a4"/>
      </w:pPr>
      <w:r>
        <w:t>В ходе исследования данной антенны были получены следующие частотные и угловые зависимости, они представлены на рис</w:t>
      </w:r>
      <w:r w:rsidR="00BA6D52">
        <w:t>.</w:t>
      </w:r>
      <w:r>
        <w:t xml:space="preserve"> </w:t>
      </w:r>
      <w:r w:rsidR="009744F2">
        <w:t>1</w:t>
      </w:r>
      <w:r w:rsidR="00FC6D7C">
        <w:t>1</w:t>
      </w:r>
      <w:r w:rsidR="00BA6D52">
        <w:t>–</w:t>
      </w:r>
      <w:r w:rsidR="009278E5">
        <w:t>1</w:t>
      </w:r>
      <w:r w:rsidR="00FC6D7C">
        <w:t>5</w:t>
      </w:r>
      <w:r>
        <w:t>.</w:t>
      </w:r>
      <w:r w:rsidR="00F620C9">
        <w:t xml:space="preserve"> </w:t>
      </w:r>
      <w:proofErr w:type="gramStart"/>
      <w:r w:rsidR="00F620C9">
        <w:t>На графиках видно, что КО в рабочей полосе частот (1,45</w:t>
      </w:r>
      <w:r w:rsidR="00AF4631">
        <w:t>–</w:t>
      </w:r>
      <w:r w:rsidR="00F620C9">
        <w:t xml:space="preserve">1,55 ГГц) </w:t>
      </w:r>
      <w:r w:rsidR="0067460F">
        <w:t xml:space="preserve">составляет </w:t>
      </w:r>
      <w:r w:rsidR="00BA6D52">
        <w:t>–</w:t>
      </w:r>
      <w:r w:rsidR="0067460F">
        <w:t>13,1дБ и ниже</w:t>
      </w:r>
      <w:r w:rsidR="00425945">
        <w:t xml:space="preserve"> для входа 1, -10,4дБ и ниже для входа 2</w:t>
      </w:r>
      <w:r w:rsidR="0067460F">
        <w:t xml:space="preserve">, а также имеет минимум </w:t>
      </w:r>
      <w:r w:rsidR="0029167E">
        <w:t>вблизи</w:t>
      </w:r>
      <w:r w:rsidR="0067460F">
        <w:t xml:space="preserve"> резонансной частоты</w:t>
      </w:r>
      <w:r w:rsidR="0067460F" w:rsidRPr="0067460F">
        <w:t>;</w:t>
      </w:r>
      <w:r w:rsidR="0067460F">
        <w:t xml:space="preserve"> КПД антенны составляет 98% </w:t>
      </w:r>
      <w:r w:rsidR="00C65DCC">
        <w:t xml:space="preserve">и 95% </w:t>
      </w:r>
      <w:r w:rsidR="0067460F">
        <w:t>на центральной частоте, а также 91,1% и 94,6%</w:t>
      </w:r>
      <w:r w:rsidR="00C65DCC">
        <w:t>, 86,9% и 93,1%</w:t>
      </w:r>
      <w:r w:rsidR="0067460F">
        <w:t xml:space="preserve"> на </w:t>
      </w:r>
      <w:r w:rsidR="00C65DCC">
        <w:t>ле</w:t>
      </w:r>
      <w:r w:rsidR="0067460F">
        <w:t xml:space="preserve">вой и </w:t>
      </w:r>
      <w:r w:rsidR="00C65DCC">
        <w:t>пра</w:t>
      </w:r>
      <w:r w:rsidR="0067460F">
        <w:t>вой границе соответственно</w:t>
      </w:r>
      <w:r w:rsidR="0067460F" w:rsidRPr="0067460F">
        <w:t>;</w:t>
      </w:r>
      <w:proofErr w:type="gramEnd"/>
      <w:r w:rsidR="0067460F">
        <w:t xml:space="preserve"> </w:t>
      </w:r>
      <w:r w:rsidR="00D74823">
        <w:t xml:space="preserve">максимум КУ составляет 5,5дБи для правой поляризации и </w:t>
      </w:r>
      <w:r w:rsidR="00D74823" w:rsidRPr="00D74823">
        <w:t>5,</w:t>
      </w:r>
      <w:r w:rsidR="008B34C3">
        <w:t>4</w:t>
      </w:r>
      <w:r w:rsidR="00D74823">
        <w:t xml:space="preserve">дБи для левой, а ширина главного лепестка по уровню -3дБ составляет 104 и </w:t>
      </w:r>
      <w:r w:rsidR="00D74823" w:rsidRPr="00D74823">
        <w:t>116</w:t>
      </w:r>
      <w:r w:rsidR="00D74823">
        <w:t xml:space="preserve"> градусов соответственно</w:t>
      </w:r>
      <w:r w:rsidR="007275CE" w:rsidRPr="007275CE">
        <w:t xml:space="preserve">; </w:t>
      </w:r>
      <w:r w:rsidR="00494E6E">
        <w:t>Коэффициент эллиптичности (</w:t>
      </w:r>
      <w:r w:rsidR="007275CE">
        <w:t>КЭ</w:t>
      </w:r>
      <w:r w:rsidR="00494E6E">
        <w:t>)</w:t>
      </w:r>
      <w:r w:rsidR="007275CE">
        <w:t xml:space="preserve"> составляет</w:t>
      </w:r>
      <w:r w:rsidR="00494E6E">
        <w:t xml:space="preserve"> 0,84 и 0,83 </w:t>
      </w:r>
      <w:r w:rsidR="007275CE">
        <w:t>на центральной частоте</w:t>
      </w:r>
      <w:r w:rsidR="00494E6E">
        <w:t xml:space="preserve"> для входа 1 и входа 2 соответственно</w:t>
      </w:r>
      <w:r w:rsidR="007275CE">
        <w:t>.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4"/>
      </w:tblGrid>
      <w:tr w:rsidR="001021BF" w14:paraId="11EE27B0" w14:textId="77777777" w:rsidTr="001021BF">
        <w:tc>
          <w:tcPr>
            <w:tcW w:w="4856" w:type="dxa"/>
          </w:tcPr>
          <w:p w14:paraId="0766E865" w14:textId="7B183BFB" w:rsidR="001021BF" w:rsidRDefault="001E5500" w:rsidP="001021BF">
            <w:pPr>
              <w:pStyle w:val="a4"/>
              <w:ind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object w:dxaOrig="5680" w:dyaOrig="4550" w14:anchorId="47946A67">
                <v:shape id="_x0000_i1030" type="#_x0000_t75" style="width:243.5pt;height:194.5pt" o:ole="">
                  <v:imagedata r:id="rId25" o:title=""/>
                </v:shape>
                <o:OLEObject Type="Embed" ProgID="SigmaPlotGraphicObject.11" ShapeID="_x0000_i1030" DrawAspect="Content" ObjectID="_1819188197" r:id="rId26"/>
              </w:object>
            </w:r>
          </w:p>
        </w:tc>
      </w:tr>
      <w:tr w:rsidR="001021BF" w:rsidRPr="00DC0A37" w14:paraId="441383C0" w14:textId="77777777" w:rsidTr="001021BF">
        <w:tc>
          <w:tcPr>
            <w:tcW w:w="4856" w:type="dxa"/>
          </w:tcPr>
          <w:p w14:paraId="787538DE" w14:textId="2467A5DD" w:rsidR="001021BF" w:rsidRDefault="00E60AF0" w:rsidP="001021BF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1021BF">
              <w:rPr>
                <w:lang w:val="ru-RU"/>
              </w:rPr>
              <w:t>График зависимости КО от частоты</w:t>
            </w:r>
          </w:p>
        </w:tc>
      </w:tr>
      <w:tr w:rsidR="001021BF" w14:paraId="3E8914AB" w14:textId="77777777" w:rsidTr="001021BF">
        <w:tc>
          <w:tcPr>
            <w:tcW w:w="4856" w:type="dxa"/>
          </w:tcPr>
          <w:p w14:paraId="3BB23431" w14:textId="6382FAC3" w:rsidR="001021BF" w:rsidRDefault="001E5500" w:rsidP="001021BF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object w:dxaOrig="5710" w:dyaOrig="4550" w14:anchorId="3682538E">
                <v:shape id="_x0000_i1031" type="#_x0000_t75" style="width:242.5pt;height:194pt" o:ole="">
                  <v:imagedata r:id="rId27" o:title=""/>
                </v:shape>
                <o:OLEObject Type="Embed" ProgID="SigmaPlotGraphicObject.11" ShapeID="_x0000_i1031" DrawAspect="Content" ObjectID="_1819188198" r:id="rId28"/>
              </w:object>
            </w:r>
          </w:p>
        </w:tc>
      </w:tr>
      <w:tr w:rsidR="001021BF" w:rsidRPr="00DC0A37" w14:paraId="64393E0F" w14:textId="77777777" w:rsidTr="001021BF">
        <w:tc>
          <w:tcPr>
            <w:tcW w:w="4856" w:type="dxa"/>
          </w:tcPr>
          <w:p w14:paraId="2BEAA7EF" w14:textId="3752D20C" w:rsidR="001021BF" w:rsidRDefault="00E60AF0" w:rsidP="001021BF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1021BF">
              <w:rPr>
                <w:lang w:val="ru-RU"/>
              </w:rPr>
              <w:t>График зависимости КПД от частоты</w:t>
            </w:r>
          </w:p>
        </w:tc>
      </w:tr>
      <w:tr w:rsidR="001021BF" w14:paraId="664905CA" w14:textId="77777777" w:rsidTr="001021BF">
        <w:tc>
          <w:tcPr>
            <w:tcW w:w="4856" w:type="dxa"/>
          </w:tcPr>
          <w:p w14:paraId="030EB52C" w14:textId="4CB5E656" w:rsidR="001021BF" w:rsidRDefault="001E5500" w:rsidP="001021BF">
            <w:pPr>
              <w:pStyle w:val="a4"/>
              <w:ind w:firstLine="0"/>
              <w:rPr>
                <w:lang w:eastAsia="en-US"/>
              </w:rPr>
            </w:pPr>
            <w:r>
              <w:rPr>
                <w:lang w:eastAsia="en-US"/>
              </w:rPr>
              <w:object w:dxaOrig="5660" w:dyaOrig="4560" w14:anchorId="262F8F88">
                <v:shape id="_x0000_i1032" type="#_x0000_t75" style="width:243.5pt;height:196pt" o:ole="">
                  <v:imagedata r:id="rId29" o:title=""/>
                </v:shape>
                <o:OLEObject Type="Embed" ProgID="SigmaPlotGraphicObject.11" ShapeID="_x0000_i1032" DrawAspect="Content" ObjectID="_1819188199" r:id="rId30"/>
              </w:object>
            </w:r>
          </w:p>
        </w:tc>
      </w:tr>
      <w:tr w:rsidR="001021BF" w:rsidRPr="00DC0A37" w14:paraId="56F1BA41" w14:textId="77777777" w:rsidTr="001021BF">
        <w:tc>
          <w:tcPr>
            <w:tcW w:w="4856" w:type="dxa"/>
          </w:tcPr>
          <w:p w14:paraId="1A70080E" w14:textId="01D7A44D" w:rsidR="001021BF" w:rsidRDefault="00E60AF0" w:rsidP="001021BF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1021BF">
              <w:rPr>
                <w:lang w:val="ru-RU"/>
              </w:rPr>
              <w:t>График зависимости К</w:t>
            </w:r>
            <w:r w:rsidR="00321034">
              <w:rPr>
                <w:lang w:val="ru-RU"/>
              </w:rPr>
              <w:t>Э</w:t>
            </w:r>
            <w:r w:rsidR="001021BF">
              <w:rPr>
                <w:lang w:val="ru-RU"/>
              </w:rPr>
              <w:t xml:space="preserve"> от угла </w:t>
            </w:r>
            <w:r w:rsidR="00C14C0D">
              <w:t>θ</w:t>
            </w:r>
            <w:r w:rsidR="005C02F6">
              <w:rPr>
                <w:lang w:val="ru-RU"/>
              </w:rPr>
              <w:t xml:space="preserve"> на центральной частоте</w:t>
            </w:r>
          </w:p>
        </w:tc>
      </w:tr>
      <w:tr w:rsidR="009278E5" w14:paraId="0A58FEE3" w14:textId="77777777" w:rsidTr="002732F7">
        <w:tc>
          <w:tcPr>
            <w:tcW w:w="4856" w:type="dxa"/>
          </w:tcPr>
          <w:p w14:paraId="5CB79842" w14:textId="5213089F" w:rsidR="009278E5" w:rsidRDefault="009D32A9" w:rsidP="00BA6D52">
            <w:pPr>
              <w:pStyle w:val="a4"/>
              <w:ind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object w:dxaOrig="10270" w:dyaOrig="7640" w14:anchorId="04375F7E">
                <v:shape id="_x0000_i1033" type="#_x0000_t75" style="width:236.5pt;height:176.5pt" o:ole="">
                  <v:imagedata r:id="rId31" o:title=""/>
                </v:shape>
                <o:OLEObject Type="Embed" ProgID="PBrush" ShapeID="_x0000_i1033" DrawAspect="Content" ObjectID="_1819188200" r:id="rId32"/>
              </w:object>
            </w:r>
          </w:p>
        </w:tc>
      </w:tr>
      <w:tr w:rsidR="009278E5" w:rsidRPr="00DC0A37" w14:paraId="3E5FE7BE" w14:textId="77777777" w:rsidTr="002732F7">
        <w:tc>
          <w:tcPr>
            <w:tcW w:w="4856" w:type="dxa"/>
          </w:tcPr>
          <w:p w14:paraId="67468AA0" w14:textId="5E32D0AC" w:rsidR="009278E5" w:rsidRDefault="00E60AF0" w:rsidP="002732F7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9278E5">
              <w:rPr>
                <w:lang w:val="ru-RU"/>
              </w:rPr>
              <w:t>График зависимости КУ от частоты</w:t>
            </w:r>
          </w:p>
          <w:p w14:paraId="78FA0D24" w14:textId="51A39357" w:rsidR="00370069" w:rsidRDefault="00370069" w:rsidP="00370069">
            <w:pPr>
              <w:pStyle w:val="figurecaption"/>
              <w:numPr>
                <w:ilvl w:val="0"/>
                <w:numId w:val="0"/>
              </w:numPr>
              <w:rPr>
                <w:lang w:val="ru-RU"/>
              </w:rPr>
            </w:pPr>
          </w:p>
          <w:p w14:paraId="6528BFDC" w14:textId="67554E02" w:rsidR="00D27AB1" w:rsidRPr="00D27AB1" w:rsidRDefault="00D27AB1" w:rsidP="00D27AB1">
            <w:pPr>
              <w:pStyle w:val="figurecaption"/>
              <w:numPr>
                <w:ilvl w:val="0"/>
                <w:numId w:val="0"/>
              </w:numPr>
              <w:spacing w:before="0" w:after="120"/>
              <w:rPr>
                <w:lang w:val="ru-RU"/>
              </w:rPr>
            </w:pPr>
            <w:r>
              <w:rPr>
                <w:lang w:val="ru-RU" w:eastAsia="ru-RU"/>
              </w:rPr>
              <w:lastRenderedPageBreak/>
              <w:drawing>
                <wp:inline distT="0" distB="0" distL="0" distR="0" wp14:anchorId="4E9EA2EE" wp14:editId="30060C1B">
                  <wp:extent cx="3077307" cy="2272105"/>
                  <wp:effectExtent l="0" t="0" r="889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3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43929" t="22990" r="17967" b="26993"/>
                          <a:stretch/>
                        </pic:blipFill>
                        <pic:spPr bwMode="auto">
                          <a:xfrm>
                            <a:off x="0" y="0"/>
                            <a:ext cx="3078701" cy="2273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336F4F4" w14:textId="08221B6E" w:rsidR="002606BE" w:rsidRPr="000F3B31" w:rsidRDefault="00F85E53" w:rsidP="000F3B31">
            <w:pPr>
              <w:pStyle w:val="figurecaption"/>
              <w:rPr>
                <w:lang w:val="ru-RU"/>
              </w:rPr>
            </w:pPr>
            <w:r>
              <w:rPr>
                <w:lang w:val="ru-RU"/>
              </w:rPr>
              <w:t xml:space="preserve"> График зависимости К</w:t>
            </w:r>
            <w:r w:rsidR="00321034">
              <w:rPr>
                <w:lang w:val="ru-RU"/>
              </w:rPr>
              <w:t>У</w:t>
            </w:r>
            <w:r>
              <w:rPr>
                <w:lang w:val="ru-RU"/>
              </w:rPr>
              <w:t xml:space="preserve"> от угла </w:t>
            </w:r>
            <w:r w:rsidR="00C14C0D">
              <w:t>θ</w:t>
            </w:r>
          </w:p>
        </w:tc>
      </w:tr>
    </w:tbl>
    <w:p w14:paraId="3ACFF528" w14:textId="04AD9982" w:rsidR="002F52F3" w:rsidRDefault="001021BF" w:rsidP="002F52F3">
      <w:pPr>
        <w:pStyle w:val="1"/>
      </w:pPr>
      <w:r>
        <w:lastRenderedPageBreak/>
        <w:t>Заключение</w:t>
      </w:r>
    </w:p>
    <w:p w14:paraId="10A4762C" w14:textId="64AF3924" w:rsidR="00807426" w:rsidRDefault="00433716" w:rsidP="00BA6D52">
      <w:pPr>
        <w:pStyle w:val="a4"/>
      </w:pPr>
      <w:r>
        <w:t>В данной статье было рассмотрено следующее: были приведены электродинамические модели как функциональных узлов щ</w:t>
      </w:r>
      <w:r w:rsidRPr="00433716">
        <w:t>елев</w:t>
      </w:r>
      <w:r>
        <w:t>ой</w:t>
      </w:r>
      <w:r w:rsidRPr="00433716">
        <w:t xml:space="preserve"> антенн</w:t>
      </w:r>
      <w:r>
        <w:t>ы</w:t>
      </w:r>
      <w:r w:rsidRPr="00433716">
        <w:t xml:space="preserve"> с экраном в виде полости</w:t>
      </w:r>
      <w:r>
        <w:t>, таких как схема питания и возбуждающ</w:t>
      </w:r>
      <w:r w:rsidR="00FB7EBB">
        <w:t>ая</w:t>
      </w:r>
      <w:r>
        <w:t xml:space="preserve"> МПЛ с формой в виде меандра, так и модель всей антенны в сборе. </w:t>
      </w:r>
    </w:p>
    <w:p w14:paraId="1A9F09FE" w14:textId="0EF44C6F" w:rsidR="00807426" w:rsidRDefault="00433716" w:rsidP="00BA6D52">
      <w:pPr>
        <w:pStyle w:val="a4"/>
      </w:pPr>
      <w:r>
        <w:t>Были получены характеристики</w:t>
      </w:r>
      <w:r w:rsidR="00B45010">
        <w:t xml:space="preserve"> антенны:</w:t>
      </w:r>
      <w:r>
        <w:t xml:space="preserve"> КУ и КЭ,</w:t>
      </w:r>
      <w:r w:rsidR="00B45010">
        <w:t xml:space="preserve"> находятся на высоком уровне, </w:t>
      </w:r>
      <w:proofErr w:type="gramStart"/>
      <w:r w:rsidR="00B45010">
        <w:t>КО</w:t>
      </w:r>
      <w:proofErr w:type="gramEnd"/>
      <w:r w:rsidR="00B45010">
        <w:t xml:space="preserve"> же наоборот имеет </w:t>
      </w:r>
      <w:proofErr w:type="gramStart"/>
      <w:r w:rsidR="00B45010">
        <w:t>малые</w:t>
      </w:r>
      <w:proofErr w:type="gramEnd"/>
      <w:r w:rsidR="00B45010">
        <w:t xml:space="preserve"> значения, что говорит о хорошем согласовании</w:t>
      </w:r>
      <w:r>
        <w:t xml:space="preserve"> в рабочей полосе частот 1,45</w:t>
      </w:r>
      <w:r w:rsidR="00BA6D52">
        <w:t>–</w:t>
      </w:r>
      <w:r>
        <w:t>1,55 ГГц</w:t>
      </w:r>
      <w:r w:rsidR="00B45010">
        <w:t>. Также стоит отметить</w:t>
      </w:r>
      <w:r w:rsidR="00036784">
        <w:t xml:space="preserve"> работу</w:t>
      </w:r>
      <w:r w:rsidR="00BC7E50">
        <w:t xml:space="preserve"> антен</w:t>
      </w:r>
      <w:bookmarkStart w:id="0" w:name="_GoBack"/>
      <w:bookmarkEnd w:id="0"/>
      <w:r w:rsidR="00BC7E50">
        <w:t>ны</w:t>
      </w:r>
      <w:r w:rsidR="00036784">
        <w:t xml:space="preserve"> в двухканальном режиме, </w:t>
      </w:r>
      <w:r w:rsidR="00BC7E50">
        <w:t>который</w:t>
      </w:r>
      <w:r w:rsidR="00036784">
        <w:t xml:space="preserve"> позволяет</w:t>
      </w:r>
      <w:r w:rsidR="00BC7E50">
        <w:t xml:space="preserve"> ей</w:t>
      </w:r>
      <w:r w:rsidR="00036784">
        <w:t xml:space="preserve"> иметь обе круговые поляризации и расширяет спектр сфер использования</w:t>
      </w:r>
      <w:r>
        <w:t xml:space="preserve">. </w:t>
      </w:r>
      <w:r w:rsidR="00BC7E50">
        <w:t>В единичных антеннах такое редко рассматривается в силу трудности создания такого режима работы.</w:t>
      </w:r>
    </w:p>
    <w:p w14:paraId="12E6C19B" w14:textId="37FDB1E9" w:rsidR="00F80EFC" w:rsidRPr="00F80EFC" w:rsidRDefault="00433716" w:rsidP="00BA6D52">
      <w:pPr>
        <w:pStyle w:val="a4"/>
      </w:pPr>
      <w:r>
        <w:t>К</w:t>
      </w:r>
      <w:r w:rsidR="00036784">
        <w:t>о</w:t>
      </w:r>
      <w:r>
        <w:t xml:space="preserve"> </w:t>
      </w:r>
      <w:r w:rsidR="00036784">
        <w:t>всему прочему</w:t>
      </w:r>
      <w:r w:rsidR="00D80C01">
        <w:t>,</w:t>
      </w:r>
      <w:r>
        <w:t xml:space="preserve"> исследуемая антенна имеет простое строение, малый вес и является дешевой в изготовлении, что также соответствует установленным требованиям и поспособствует широкому </w:t>
      </w:r>
      <w:proofErr w:type="gramStart"/>
      <w:r>
        <w:t>применени</w:t>
      </w:r>
      <w:r w:rsidR="00BC307E">
        <w:t>ю</w:t>
      </w:r>
      <w:proofErr w:type="gramEnd"/>
      <w:r>
        <w:t xml:space="preserve"> как в наземном сегменте, так и в составе </w:t>
      </w:r>
      <w:r w:rsidR="00BC307E">
        <w:t>космических аппаратов</w:t>
      </w:r>
      <w:r>
        <w:t>.</w:t>
      </w:r>
    </w:p>
    <w:p w14:paraId="43D8A714" w14:textId="6FFC601A" w:rsidR="002F52F3" w:rsidRPr="00C869DC" w:rsidRDefault="00C869DC" w:rsidP="002F52F3">
      <w:pPr>
        <w:pStyle w:val="5"/>
        <w:rPr>
          <w:rFonts w:eastAsia="MS Mincho"/>
        </w:rPr>
      </w:pPr>
      <w:r>
        <w:rPr>
          <w:rFonts w:eastAsia="MS Mincho"/>
        </w:rPr>
        <w:lastRenderedPageBreak/>
        <w:t xml:space="preserve">Список </w:t>
      </w:r>
      <w:r w:rsidR="00D27AB1">
        <w:rPr>
          <w:rFonts w:eastAsia="MS Mincho"/>
        </w:rPr>
        <w:t>литературы</w:t>
      </w:r>
    </w:p>
    <w:p w14:paraId="5097CA11" w14:textId="40A4ED50" w:rsidR="002F52F3" w:rsidRPr="00E8196D" w:rsidRDefault="004141C6" w:rsidP="002F52F3">
      <w:pPr>
        <w:pStyle w:val="references"/>
      </w:pPr>
      <w:bookmarkStart w:id="1" w:name="_Ref133668980"/>
      <w:r w:rsidRPr="004141C6">
        <w:t>S. Yun, D. -Y. Kim and S. Nam, "Bandwidth Enhancement of Cavity-Backed Slot Antenna Using a Via-Hole Above the Slot," in IEEE Antennas and Wireless Propagation Letters, vol. 11, pp. 1092-1095, 2012, doi: 10.1109/LAWP.2012.2215911.</w:t>
      </w:r>
      <w:bookmarkEnd w:id="1"/>
    </w:p>
    <w:p w14:paraId="17FA0B79" w14:textId="77777777" w:rsidR="004141C6" w:rsidRDefault="004141C6" w:rsidP="004141C6">
      <w:pPr>
        <w:pStyle w:val="references"/>
        <w:rPr>
          <w:lang w:eastAsia="ru-RU"/>
        </w:rPr>
      </w:pPr>
      <w:bookmarkStart w:id="2" w:name="_Ref133668689"/>
      <w:r w:rsidRPr="00CB434E">
        <w:rPr>
          <w:lang w:eastAsia="ru-RU"/>
        </w:rPr>
        <w:t>R. Bayderkhani, K. Forooraghi and B. Abbasi-Arand, "Gain-Enhanced SIW Cavity-Backed Slot Antenna with Arbitrary Levels of Inclined Polarization," in IEEE Antennas and Wireless Propagation Letters, vol. 14, pp. 931-934, 2015, doi: 10.1109/LAWP.2014.2387015.</w:t>
      </w:r>
    </w:p>
    <w:p w14:paraId="17F7E7F8" w14:textId="2EACE357" w:rsidR="002F52F3" w:rsidRDefault="004141C6" w:rsidP="002F52F3">
      <w:pPr>
        <w:pStyle w:val="references"/>
      </w:pPr>
      <w:bookmarkStart w:id="3" w:name="_Ref134008462"/>
      <w:bookmarkEnd w:id="2"/>
      <w:r w:rsidRPr="00AE0A3E">
        <w:rPr>
          <w:lang w:eastAsia="ru-RU"/>
        </w:rPr>
        <w:t>X. -X. Qin, N. -W. Liu and J. Chen, "Wideband Cavity-Backed Slot Antenna Based on Multi-Resonant Modes," 2021 IEEE International Workshop on Electromagnetics: Applications and Student Innovation Competition (iWEM), Guangzhou, China, 2021, pp. 1-3, doi: 10.1109/iWEM53379.2021.9790631.</w:t>
      </w:r>
      <w:bookmarkEnd w:id="3"/>
    </w:p>
    <w:p w14:paraId="1223A763" w14:textId="7444D60E" w:rsidR="002F52F3" w:rsidRDefault="004141C6" w:rsidP="002F52F3">
      <w:pPr>
        <w:pStyle w:val="references"/>
      </w:pPr>
      <w:bookmarkStart w:id="4" w:name="_Ref134009368"/>
      <w:r w:rsidRPr="00E104C6">
        <w:rPr>
          <w:lang w:eastAsia="ru-RU"/>
        </w:rPr>
        <w:t>R. -S. Chen et al., "High-Efficiency and Wideband Dual-Resonance Full-Metal Cavity-Backed Slot Antenna Array," in IEEE Antennas and Wireless Propagation Letters, vol. 19, no. 8, pp. 1360-1364, Aug. 2020, doi: 10.1109/LAWP.2020.3001057.</w:t>
      </w:r>
      <w:bookmarkEnd w:id="4"/>
    </w:p>
    <w:p w14:paraId="7B41361F" w14:textId="34337D97" w:rsidR="004141C6" w:rsidRDefault="004141C6" w:rsidP="004141C6">
      <w:pPr>
        <w:pStyle w:val="references"/>
        <w:rPr>
          <w:lang w:eastAsia="ru-RU"/>
        </w:rPr>
      </w:pPr>
      <w:r w:rsidRPr="00517755">
        <w:rPr>
          <w:lang w:eastAsia="ru-RU"/>
        </w:rPr>
        <w:t>Q. Wu, J. Yin, C. Yu, H. Wang and W. Hong, "Broadband Planar SIW Cavity-Backed Slot Antennas Aided by Unbalanced Shorting Vias," in IEEE Antennas and Wireless Propagation Letters, vol. 18, no. 2, pp. 363-367, Feb. 2019, doi: 10.1109/LAWP.2019.2891108.</w:t>
      </w:r>
    </w:p>
    <w:p w14:paraId="14F8156C" w14:textId="77777777" w:rsidR="004141C6" w:rsidRDefault="004141C6" w:rsidP="004141C6">
      <w:pPr>
        <w:pStyle w:val="references"/>
        <w:rPr>
          <w:lang w:eastAsia="ru-RU"/>
        </w:rPr>
      </w:pPr>
      <w:r w:rsidRPr="00CA3237">
        <w:rPr>
          <w:lang w:eastAsia="ru-RU"/>
        </w:rPr>
        <w:t>Sumin Yun and Sangwook Nam, "Miniaturization of cavity-backed crossed-slot antenna using folded cavity," 2013 7th European Conference on Antennas and Propagation (EuCAP), Gothenburg, Sweden, 2013, pp. 155-156.</w:t>
      </w:r>
    </w:p>
    <w:p w14:paraId="3665CE1E" w14:textId="589CD152" w:rsidR="004141C6" w:rsidRDefault="004141C6" w:rsidP="004141C6">
      <w:pPr>
        <w:pStyle w:val="references"/>
        <w:rPr>
          <w:lang w:eastAsia="ru-RU"/>
        </w:rPr>
      </w:pPr>
      <w:r w:rsidRPr="00491B5E">
        <w:rPr>
          <w:lang w:eastAsia="ru-RU"/>
        </w:rPr>
        <w:t>G. Yang, J. Zhang, Y. Yang and Z. Zhou, "A Ka-Band Wideband SIW Cavity-Backed Slot Antenna Array," 2018 12th International Symposium on Antennas, Propagation and EM Theory (ISAPE), Hangzhou, China, 2018, pp. 1-3, doi: 10.1109/ISAPE.2018.8634154.</w:t>
      </w:r>
    </w:p>
    <w:p w14:paraId="52C6EB3A" w14:textId="77777777" w:rsidR="004141C6" w:rsidRDefault="004141C6" w:rsidP="004141C6">
      <w:pPr>
        <w:pStyle w:val="references"/>
        <w:rPr>
          <w:lang w:eastAsia="ru-RU"/>
        </w:rPr>
      </w:pPr>
      <w:r w:rsidRPr="00B0056B">
        <w:rPr>
          <w:lang w:eastAsia="ru-RU"/>
        </w:rPr>
        <w:t>J. H. Bae, J. G. Jeong, Y. J. Yoon and H. Kim, "Millimeter-Wave Triple-Resonance Substrate Integrated Waveguide Cavity-Backed Slot Antenna With Cavity Resonator," 2019 IEEE International Symposium on Antennas and Propagation and USNC-URSI Radio Science Meeting, Atlanta, GA, USA, 2019, pp. 283-284, doi: 10.1109/APUSNCURSINRSM.2019.8889197.</w:t>
      </w:r>
    </w:p>
    <w:p w14:paraId="7DFC95A9" w14:textId="77777777" w:rsidR="004141C6" w:rsidRDefault="004141C6" w:rsidP="004141C6">
      <w:pPr>
        <w:pStyle w:val="references"/>
        <w:rPr>
          <w:lang w:eastAsia="ru-RU"/>
        </w:rPr>
      </w:pPr>
      <w:r w:rsidRPr="00B9528B">
        <w:rPr>
          <w:lang w:eastAsia="ru-RU"/>
        </w:rPr>
        <w:t>H. Dashti, M. Shahabadi and M. H. Neshati, "SIW cavity-backed slot antennas with improved gain," 2013 21st Iranian Conference on Electrical Engineering (ICEE), Mashhad, Iran, 2013, pp. 1-4, doi: 10.1109/IranianCEE.2013.6599668.</w:t>
      </w:r>
    </w:p>
    <w:p w14:paraId="131729E2" w14:textId="4CE37762" w:rsidR="004141C6" w:rsidRDefault="004141C6" w:rsidP="00CB52CE">
      <w:pPr>
        <w:pStyle w:val="references"/>
        <w:rPr>
          <w:lang w:eastAsia="ru-RU"/>
        </w:rPr>
      </w:pPr>
      <w:r w:rsidRPr="00370FAE">
        <w:rPr>
          <w:lang w:eastAsia="ru-RU"/>
        </w:rPr>
        <w:t>Mukherjee, A. Biswas and K. V. Srivastava, "Broadband Substrate Integrated Waveguide Cavity-Backed Bow-Tie Slot Antenna," in IEEE Antennas and Wireless Propagation Letters, vol. 13, pp. 1152-1155, 2014, doi: 10.1109/LAWP.2014.2330743.</w:t>
      </w:r>
    </w:p>
    <w:p w14:paraId="36B48295" w14:textId="17DD9074" w:rsidR="004141C6" w:rsidRPr="00BA6D52" w:rsidRDefault="00CB52CE" w:rsidP="00516208">
      <w:pPr>
        <w:pStyle w:val="references"/>
        <w:rPr>
          <w:lang w:eastAsia="ru-RU"/>
        </w:rPr>
      </w:pPr>
      <w:r w:rsidRPr="00CB52CE">
        <w:rPr>
          <w:lang w:eastAsia="ru-RU"/>
        </w:rPr>
        <w:t>K. Luo, B. Chen and W. -P. Ding, "Meander Line Coupled Cavity-Backed Slot Antenna for Broadband Circular Polarization," in IEEE Antennas and Wireless Propagation Letters, vol. 14, pp. 1215-1218, 2015, doi: 10.1109/LAWP.2015.2399017.</w:t>
      </w:r>
    </w:p>
    <w:p w14:paraId="2311EF33" w14:textId="77777777" w:rsidR="00BA6D52" w:rsidRPr="000B2367" w:rsidRDefault="00BA6D52" w:rsidP="00516208">
      <w:pPr>
        <w:pStyle w:val="references"/>
        <w:rPr>
          <w:lang w:eastAsia="ru-RU"/>
        </w:rPr>
        <w:sectPr w:rsidR="00BA6D52" w:rsidRPr="000B2367" w:rsidSect="00D55F83">
          <w:type w:val="continuous"/>
          <w:pgSz w:w="11906" w:h="16838" w:code="9"/>
          <w:pgMar w:top="567" w:right="907" w:bottom="1440" w:left="907" w:header="720" w:footer="720" w:gutter="0"/>
          <w:cols w:num="2" w:space="340"/>
          <w:docGrid w:linePitch="360" w:charSpace="8192"/>
        </w:sectPr>
      </w:pPr>
    </w:p>
    <w:p w14:paraId="1C9D6511" w14:textId="541900F3" w:rsidR="00D46C41" w:rsidRDefault="00D46C41" w:rsidP="00516208">
      <w:pPr>
        <w:jc w:val="both"/>
      </w:pPr>
    </w:p>
    <w:sectPr w:rsidR="00D46C41" w:rsidSect="00D55F83">
      <w:type w:val="continuous"/>
      <w:pgSz w:w="11906" w:h="16838" w:code="9"/>
      <w:pgMar w:top="567" w:right="907" w:bottom="1440" w:left="907" w:header="720" w:footer="720" w:gutter="0"/>
      <w:cols w:space="34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5F0BD7" w14:textId="77777777" w:rsidR="00095265" w:rsidRDefault="00095265">
      <w:r>
        <w:separator/>
      </w:r>
    </w:p>
  </w:endnote>
  <w:endnote w:type="continuationSeparator" w:id="0">
    <w:p w14:paraId="03493C7F" w14:textId="77777777" w:rsidR="00095265" w:rsidRDefault="00095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581E2" w14:textId="77777777" w:rsidR="0040196D" w:rsidRDefault="0040196D" w:rsidP="00D55F83">
    <w:pPr>
      <w:pStyle w:val="1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DBF02A" w14:textId="77777777" w:rsidR="00095265" w:rsidRDefault="00095265">
      <w:r>
        <w:separator/>
      </w:r>
    </w:p>
  </w:footnote>
  <w:footnote w:type="continuationSeparator" w:id="0">
    <w:p w14:paraId="128B06F7" w14:textId="77777777" w:rsidR="00095265" w:rsidRDefault="00095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9328A"/>
    <w:multiLevelType w:val="hybridMultilevel"/>
    <w:tmpl w:val="504E5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9603E"/>
    <w:multiLevelType w:val="multilevel"/>
    <w:tmpl w:val="77626D60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4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6">
    <w:nsid w:val="57FE6E41"/>
    <w:multiLevelType w:val="hybridMultilevel"/>
    <w:tmpl w:val="520E640E"/>
    <w:lvl w:ilvl="0" w:tplc="24D42FCE">
      <w:start w:val="1"/>
      <w:numFmt w:val="decimal"/>
      <w:pStyle w:val="a1"/>
      <w:lvlText w:val="Fig. 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C402C58"/>
    <w:multiLevelType w:val="hybridMultilevel"/>
    <w:tmpl w:val="8FCE5684"/>
    <w:lvl w:ilvl="0" w:tplc="2B2ED014">
      <w:start w:val="1"/>
      <w:numFmt w:val="decimal"/>
      <w:pStyle w:val="figurecaption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2951F90"/>
    <w:multiLevelType w:val="hybridMultilevel"/>
    <w:tmpl w:val="149E351E"/>
    <w:lvl w:ilvl="0" w:tplc="446C6AE2">
      <w:start w:val="1"/>
      <w:numFmt w:val="upperRoman"/>
      <w:pStyle w:val="a2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3"/>
  </w:num>
  <w:num w:numId="5">
    <w:abstractNumId w:val="7"/>
    <w:lvlOverride w:ilvl="0">
      <w:startOverride w:val="1"/>
    </w:lvlOverride>
  </w:num>
  <w:num w:numId="6">
    <w:abstractNumId w:val="0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2"/>
  </w:num>
  <w:num w:numId="12">
    <w:abstractNumId w:val="4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951"/>
    <w:rsid w:val="00000DFA"/>
    <w:rsid w:val="0001028D"/>
    <w:rsid w:val="00036784"/>
    <w:rsid w:val="0003766C"/>
    <w:rsid w:val="00051105"/>
    <w:rsid w:val="0005619C"/>
    <w:rsid w:val="000715C6"/>
    <w:rsid w:val="00074C5B"/>
    <w:rsid w:val="0007623A"/>
    <w:rsid w:val="000917FF"/>
    <w:rsid w:val="00095265"/>
    <w:rsid w:val="000A325D"/>
    <w:rsid w:val="000A6619"/>
    <w:rsid w:val="000B25B0"/>
    <w:rsid w:val="000C58E0"/>
    <w:rsid w:val="000D782A"/>
    <w:rsid w:val="000D7D9D"/>
    <w:rsid w:val="000E3E15"/>
    <w:rsid w:val="000F3855"/>
    <w:rsid w:val="000F3B31"/>
    <w:rsid w:val="001021BF"/>
    <w:rsid w:val="00113042"/>
    <w:rsid w:val="00120750"/>
    <w:rsid w:val="001318A1"/>
    <w:rsid w:val="00137BF5"/>
    <w:rsid w:val="0015552D"/>
    <w:rsid w:val="00156B07"/>
    <w:rsid w:val="00165917"/>
    <w:rsid w:val="001A1F6E"/>
    <w:rsid w:val="001B06C2"/>
    <w:rsid w:val="001B254E"/>
    <w:rsid w:val="001B44C0"/>
    <w:rsid w:val="001D49ED"/>
    <w:rsid w:val="001D605E"/>
    <w:rsid w:val="001E5500"/>
    <w:rsid w:val="001F1759"/>
    <w:rsid w:val="001F1E7E"/>
    <w:rsid w:val="001F5137"/>
    <w:rsid w:val="00202989"/>
    <w:rsid w:val="0020547F"/>
    <w:rsid w:val="00212D4E"/>
    <w:rsid w:val="00227028"/>
    <w:rsid w:val="002314FC"/>
    <w:rsid w:val="00235578"/>
    <w:rsid w:val="00240EF2"/>
    <w:rsid w:val="00252E17"/>
    <w:rsid w:val="002606BE"/>
    <w:rsid w:val="0026417A"/>
    <w:rsid w:val="002712AA"/>
    <w:rsid w:val="002750A5"/>
    <w:rsid w:val="00283937"/>
    <w:rsid w:val="0029167E"/>
    <w:rsid w:val="002A4289"/>
    <w:rsid w:val="002A78C5"/>
    <w:rsid w:val="002C359F"/>
    <w:rsid w:val="002C73B4"/>
    <w:rsid w:val="002C7F21"/>
    <w:rsid w:val="002D16AF"/>
    <w:rsid w:val="002D4325"/>
    <w:rsid w:val="002F18A3"/>
    <w:rsid w:val="002F52F3"/>
    <w:rsid w:val="003174F1"/>
    <w:rsid w:val="00321034"/>
    <w:rsid w:val="00337A11"/>
    <w:rsid w:val="00352AD6"/>
    <w:rsid w:val="00353892"/>
    <w:rsid w:val="00355B9D"/>
    <w:rsid w:val="00362F53"/>
    <w:rsid w:val="003641A7"/>
    <w:rsid w:val="00370069"/>
    <w:rsid w:val="00377E16"/>
    <w:rsid w:val="003874D6"/>
    <w:rsid w:val="00387AD0"/>
    <w:rsid w:val="00391CD7"/>
    <w:rsid w:val="003A019B"/>
    <w:rsid w:val="003A1FA8"/>
    <w:rsid w:val="003A2CE3"/>
    <w:rsid w:val="003A3951"/>
    <w:rsid w:val="003D355E"/>
    <w:rsid w:val="003E26EB"/>
    <w:rsid w:val="003E4D08"/>
    <w:rsid w:val="0040196D"/>
    <w:rsid w:val="00413FE9"/>
    <w:rsid w:val="004141C6"/>
    <w:rsid w:val="00421821"/>
    <w:rsid w:val="00425945"/>
    <w:rsid w:val="00426D42"/>
    <w:rsid w:val="00433716"/>
    <w:rsid w:val="004349A8"/>
    <w:rsid w:val="00444120"/>
    <w:rsid w:val="004448A6"/>
    <w:rsid w:val="00462E64"/>
    <w:rsid w:val="00480551"/>
    <w:rsid w:val="00494E6E"/>
    <w:rsid w:val="004A4E76"/>
    <w:rsid w:val="004B5A73"/>
    <w:rsid w:val="004C564D"/>
    <w:rsid w:val="004C5DD4"/>
    <w:rsid w:val="004E1F02"/>
    <w:rsid w:val="004E71D5"/>
    <w:rsid w:val="004F0723"/>
    <w:rsid w:val="004F743D"/>
    <w:rsid w:val="005136FF"/>
    <w:rsid w:val="00516208"/>
    <w:rsid w:val="005408EA"/>
    <w:rsid w:val="00543C78"/>
    <w:rsid w:val="005B4F84"/>
    <w:rsid w:val="005B6449"/>
    <w:rsid w:val="005C02F6"/>
    <w:rsid w:val="005F0382"/>
    <w:rsid w:val="006066A0"/>
    <w:rsid w:val="00613FD2"/>
    <w:rsid w:val="006141B1"/>
    <w:rsid w:val="00652296"/>
    <w:rsid w:val="006528DD"/>
    <w:rsid w:val="0067460F"/>
    <w:rsid w:val="00686433"/>
    <w:rsid w:val="006A4E75"/>
    <w:rsid w:val="006B1604"/>
    <w:rsid w:val="006C0769"/>
    <w:rsid w:val="006C0CE3"/>
    <w:rsid w:val="006C1102"/>
    <w:rsid w:val="006C1B86"/>
    <w:rsid w:val="006D31F3"/>
    <w:rsid w:val="007038F7"/>
    <w:rsid w:val="0071446F"/>
    <w:rsid w:val="007254AC"/>
    <w:rsid w:val="007275CE"/>
    <w:rsid w:val="0074224A"/>
    <w:rsid w:val="007606BD"/>
    <w:rsid w:val="00765442"/>
    <w:rsid w:val="0077796E"/>
    <w:rsid w:val="00791AAA"/>
    <w:rsid w:val="007946FC"/>
    <w:rsid w:val="007A5C39"/>
    <w:rsid w:val="007B215C"/>
    <w:rsid w:val="007B75C7"/>
    <w:rsid w:val="007C7EF3"/>
    <w:rsid w:val="007D4F33"/>
    <w:rsid w:val="007F7F9E"/>
    <w:rsid w:val="00806FC2"/>
    <w:rsid w:val="00807426"/>
    <w:rsid w:val="00811005"/>
    <w:rsid w:val="00821694"/>
    <w:rsid w:val="00831216"/>
    <w:rsid w:val="008323A3"/>
    <w:rsid w:val="008408B9"/>
    <w:rsid w:val="008478E3"/>
    <w:rsid w:val="00854DEF"/>
    <w:rsid w:val="0088482C"/>
    <w:rsid w:val="008A75EA"/>
    <w:rsid w:val="008B179F"/>
    <w:rsid w:val="008B34C3"/>
    <w:rsid w:val="008B70BF"/>
    <w:rsid w:val="008B784A"/>
    <w:rsid w:val="008B7B2C"/>
    <w:rsid w:val="008C1167"/>
    <w:rsid w:val="008F1AA2"/>
    <w:rsid w:val="0090096F"/>
    <w:rsid w:val="00905BA9"/>
    <w:rsid w:val="0091344F"/>
    <w:rsid w:val="009220D8"/>
    <w:rsid w:val="009278E5"/>
    <w:rsid w:val="00964915"/>
    <w:rsid w:val="00965E5F"/>
    <w:rsid w:val="009744F2"/>
    <w:rsid w:val="009928C9"/>
    <w:rsid w:val="009C4C20"/>
    <w:rsid w:val="009C5CDD"/>
    <w:rsid w:val="009D32A9"/>
    <w:rsid w:val="00A06B62"/>
    <w:rsid w:val="00A278E8"/>
    <w:rsid w:val="00A43F0A"/>
    <w:rsid w:val="00A97D56"/>
    <w:rsid w:val="00AB404D"/>
    <w:rsid w:val="00AE0D89"/>
    <w:rsid w:val="00AF0F06"/>
    <w:rsid w:val="00AF4631"/>
    <w:rsid w:val="00AF6364"/>
    <w:rsid w:val="00AF6CB3"/>
    <w:rsid w:val="00AF7D6D"/>
    <w:rsid w:val="00B223E8"/>
    <w:rsid w:val="00B22FA3"/>
    <w:rsid w:val="00B25F9E"/>
    <w:rsid w:val="00B45010"/>
    <w:rsid w:val="00B54A69"/>
    <w:rsid w:val="00B64D89"/>
    <w:rsid w:val="00B659EF"/>
    <w:rsid w:val="00B727F8"/>
    <w:rsid w:val="00B90465"/>
    <w:rsid w:val="00B93510"/>
    <w:rsid w:val="00BA0095"/>
    <w:rsid w:val="00BA16F3"/>
    <w:rsid w:val="00BA6D52"/>
    <w:rsid w:val="00BC307E"/>
    <w:rsid w:val="00BC6C73"/>
    <w:rsid w:val="00BC7E50"/>
    <w:rsid w:val="00BD20D1"/>
    <w:rsid w:val="00BD44B9"/>
    <w:rsid w:val="00BE5B9A"/>
    <w:rsid w:val="00BF5E04"/>
    <w:rsid w:val="00C123DD"/>
    <w:rsid w:val="00C1270C"/>
    <w:rsid w:val="00C14C0D"/>
    <w:rsid w:val="00C212E2"/>
    <w:rsid w:val="00C226D7"/>
    <w:rsid w:val="00C31A41"/>
    <w:rsid w:val="00C51143"/>
    <w:rsid w:val="00C65DCC"/>
    <w:rsid w:val="00C869DC"/>
    <w:rsid w:val="00C9459E"/>
    <w:rsid w:val="00CA609A"/>
    <w:rsid w:val="00CB52CE"/>
    <w:rsid w:val="00CB54E0"/>
    <w:rsid w:val="00CC62B8"/>
    <w:rsid w:val="00CD6FA2"/>
    <w:rsid w:val="00CE2712"/>
    <w:rsid w:val="00CE6FEF"/>
    <w:rsid w:val="00CF33C6"/>
    <w:rsid w:val="00CF58F4"/>
    <w:rsid w:val="00CF6A32"/>
    <w:rsid w:val="00D00EC9"/>
    <w:rsid w:val="00D05DBB"/>
    <w:rsid w:val="00D11F76"/>
    <w:rsid w:val="00D27AB1"/>
    <w:rsid w:val="00D306C9"/>
    <w:rsid w:val="00D349BA"/>
    <w:rsid w:val="00D40A30"/>
    <w:rsid w:val="00D40F64"/>
    <w:rsid w:val="00D4326D"/>
    <w:rsid w:val="00D46C41"/>
    <w:rsid w:val="00D46E3B"/>
    <w:rsid w:val="00D55F83"/>
    <w:rsid w:val="00D571CB"/>
    <w:rsid w:val="00D70728"/>
    <w:rsid w:val="00D74823"/>
    <w:rsid w:val="00D766F4"/>
    <w:rsid w:val="00D80C01"/>
    <w:rsid w:val="00D90047"/>
    <w:rsid w:val="00D94DC9"/>
    <w:rsid w:val="00D95881"/>
    <w:rsid w:val="00DA270D"/>
    <w:rsid w:val="00DC0A37"/>
    <w:rsid w:val="00DC3F53"/>
    <w:rsid w:val="00DC6224"/>
    <w:rsid w:val="00DD0ADE"/>
    <w:rsid w:val="00DD617F"/>
    <w:rsid w:val="00DE0FC3"/>
    <w:rsid w:val="00E04FC6"/>
    <w:rsid w:val="00E123A9"/>
    <w:rsid w:val="00E40056"/>
    <w:rsid w:val="00E4415C"/>
    <w:rsid w:val="00E452F8"/>
    <w:rsid w:val="00E51999"/>
    <w:rsid w:val="00E52E24"/>
    <w:rsid w:val="00E60AF0"/>
    <w:rsid w:val="00E80241"/>
    <w:rsid w:val="00E87F4E"/>
    <w:rsid w:val="00E969DD"/>
    <w:rsid w:val="00EA1E50"/>
    <w:rsid w:val="00EA37A2"/>
    <w:rsid w:val="00EB27B5"/>
    <w:rsid w:val="00EC0179"/>
    <w:rsid w:val="00EC174D"/>
    <w:rsid w:val="00EE01B7"/>
    <w:rsid w:val="00EF13E9"/>
    <w:rsid w:val="00EF3BD0"/>
    <w:rsid w:val="00F0074D"/>
    <w:rsid w:val="00F21368"/>
    <w:rsid w:val="00F24766"/>
    <w:rsid w:val="00F27883"/>
    <w:rsid w:val="00F36FD7"/>
    <w:rsid w:val="00F52CB1"/>
    <w:rsid w:val="00F620C9"/>
    <w:rsid w:val="00F80EFC"/>
    <w:rsid w:val="00F85E53"/>
    <w:rsid w:val="00F875F3"/>
    <w:rsid w:val="00F94CAB"/>
    <w:rsid w:val="00FB7EBB"/>
    <w:rsid w:val="00FC6D7C"/>
    <w:rsid w:val="00FF1571"/>
    <w:rsid w:val="00FF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513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3">
    <w:name w:val="Normal"/>
    <w:qFormat/>
    <w:rsid w:val="00D55F8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3"/>
    <w:next w:val="a4"/>
    <w:link w:val="10"/>
    <w:qFormat/>
    <w:rsid w:val="00D55F83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3"/>
    <w:next w:val="a3"/>
    <w:link w:val="20"/>
    <w:qFormat/>
    <w:rsid w:val="00D55F83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3"/>
    <w:next w:val="a3"/>
    <w:link w:val="30"/>
    <w:uiPriority w:val="1"/>
    <w:rsid w:val="00D55F83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3"/>
    <w:next w:val="a3"/>
    <w:link w:val="40"/>
    <w:uiPriority w:val="1"/>
    <w:rsid w:val="00D55F83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3"/>
    <w:next w:val="a3"/>
    <w:link w:val="50"/>
    <w:qFormat/>
    <w:rsid w:val="00D55F83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3"/>
    <w:next w:val="a3"/>
    <w:link w:val="60"/>
    <w:uiPriority w:val="9"/>
    <w:semiHidden/>
    <w:unhideWhenUsed/>
    <w:rsid w:val="00D55F83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55F83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5"/>
    <w:link w:val="2"/>
    <w:rsid w:val="00D55F83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5"/>
    <w:link w:val="3"/>
    <w:uiPriority w:val="1"/>
    <w:rsid w:val="00D55F83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5"/>
    <w:link w:val="4"/>
    <w:uiPriority w:val="1"/>
    <w:rsid w:val="00D55F83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5"/>
    <w:link w:val="5"/>
    <w:rsid w:val="00D55F83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4">
    <w:name w:val="Body Text"/>
    <w:basedOn w:val="a3"/>
    <w:link w:val="a8"/>
    <w:rsid w:val="00D55F83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8">
    <w:name w:val="Основной текст Знак"/>
    <w:link w:val="a4"/>
    <w:rsid w:val="00D55F83"/>
    <w:rPr>
      <w:rFonts w:ascii="Times New Roman" w:eastAsia="MS Mincho" w:hAnsi="Times New Roman" w:cs="Times New Roman"/>
      <w:spacing w:val="-1"/>
      <w:sz w:val="20"/>
      <w:szCs w:val="20"/>
    </w:rPr>
  </w:style>
  <w:style w:type="paragraph" w:customStyle="1" w:styleId="a9">
    <w:name w:val="Аннотация"/>
    <w:basedOn w:val="aa"/>
    <w:qFormat/>
    <w:rsid w:val="00D55F83"/>
    <w:pPr>
      <w:ind w:firstLine="289"/>
      <w:jc w:val="both"/>
    </w:pPr>
    <w:rPr>
      <w:b/>
      <w:i w:val="0"/>
      <w:sz w:val="18"/>
    </w:rPr>
  </w:style>
  <w:style w:type="paragraph" w:customStyle="1" w:styleId="aa">
    <w:name w:val="Организация"/>
    <w:basedOn w:val="a3"/>
    <w:qFormat/>
    <w:rsid w:val="00D55F83"/>
    <w:pPr>
      <w:spacing w:after="80"/>
      <w:jc w:val="center"/>
    </w:pPr>
    <w:rPr>
      <w:i/>
      <w:sz w:val="22"/>
    </w:rPr>
  </w:style>
  <w:style w:type="paragraph" w:customStyle="1" w:styleId="ab">
    <w:name w:val="Автор"/>
    <w:rsid w:val="002F52F3"/>
    <w:pPr>
      <w:suppressAutoHyphens/>
      <w:spacing w:before="360" w:after="4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a1">
    <w:name w:val="Нумерация рисунка"/>
    <w:next w:val="a4"/>
    <w:rsid w:val="002F52F3"/>
    <w:pPr>
      <w:numPr>
        <w:numId w:val="1"/>
      </w:numPr>
      <w:tabs>
        <w:tab w:val="left" w:pos="533"/>
      </w:tabs>
      <w:spacing w:before="80" w:after="20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paragraph" w:customStyle="1" w:styleId="ac">
    <w:name w:val="Заголовок статьи"/>
    <w:rsid w:val="002F52F3"/>
    <w:pPr>
      <w:suppressAutoHyphens/>
      <w:spacing w:before="240" w:after="120" w:line="240" w:lineRule="auto"/>
      <w:jc w:val="center"/>
    </w:pPr>
    <w:rPr>
      <w:rFonts w:ascii="Times New Roman" w:eastAsia="Times New Roman" w:hAnsi="Times New Roman" w:cs="Times New Roman"/>
      <w:bCs/>
      <w:sz w:val="48"/>
      <w:szCs w:val="48"/>
      <w:lang w:val="en-US"/>
    </w:rPr>
  </w:style>
  <w:style w:type="character" w:customStyle="1" w:styleId="ad">
    <w:name w:val="Нижний колонтитул Знак"/>
    <w:link w:val="ae"/>
    <w:locked/>
    <w:rsid w:val="00D55F83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e">
    <w:name w:val="footer"/>
    <w:basedOn w:val="1"/>
    <w:link w:val="ad"/>
    <w:rsid w:val="00D55F83"/>
  </w:style>
  <w:style w:type="character" w:customStyle="1" w:styleId="11">
    <w:name w:val="Нижний колонтитул Знак1"/>
    <w:basedOn w:val="a5"/>
    <w:uiPriority w:val="99"/>
    <w:semiHidden/>
    <w:rsid w:val="002F52F3"/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af">
    <w:name w:val="Рисунок изображение"/>
    <w:basedOn w:val="a3"/>
    <w:next w:val="a3"/>
    <w:qFormat/>
    <w:rsid w:val="002F52F3"/>
    <w:pPr>
      <w:keepNext/>
      <w:spacing w:before="240" w:after="120" w:line="276" w:lineRule="auto"/>
    </w:pPr>
    <w:rPr>
      <w:sz w:val="24"/>
      <w:szCs w:val="24"/>
      <w:lang w:eastAsia="ru-RU"/>
    </w:rPr>
  </w:style>
  <w:style w:type="paragraph" w:customStyle="1" w:styleId="equation">
    <w:name w:val="equation"/>
    <w:basedOn w:val="a3"/>
    <w:rsid w:val="002F52F3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12">
    <w:name w:val="Стиль1"/>
    <w:basedOn w:val="a4"/>
    <w:link w:val="13"/>
    <w:qFormat/>
    <w:rsid w:val="002F52F3"/>
  </w:style>
  <w:style w:type="character" w:customStyle="1" w:styleId="13">
    <w:name w:val="Стиль1 Знак"/>
    <w:link w:val="12"/>
    <w:rsid w:val="002F52F3"/>
    <w:rPr>
      <w:rFonts w:ascii="Times New Roman" w:eastAsia="SimSun" w:hAnsi="Times New Roman" w:cs="Times New Roman"/>
      <w:spacing w:val="-1"/>
      <w:sz w:val="20"/>
      <w:szCs w:val="20"/>
      <w:lang w:val="x-none" w:eastAsia="x-none"/>
    </w:rPr>
  </w:style>
  <w:style w:type="paragraph" w:customStyle="1" w:styleId="Affiliation">
    <w:name w:val="Affiliation"/>
    <w:rsid w:val="002F52F3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figurecaption">
    <w:name w:val="figure caption"/>
    <w:rsid w:val="002F52F3"/>
    <w:pPr>
      <w:numPr>
        <w:numId w:val="2"/>
      </w:numPr>
      <w:tabs>
        <w:tab w:val="left" w:pos="533"/>
      </w:tabs>
      <w:spacing w:before="80" w:after="200" w:line="240" w:lineRule="auto"/>
      <w:jc w:val="both"/>
    </w:pPr>
    <w:rPr>
      <w:rFonts w:ascii="Times New Roman" w:eastAsia="SimSun" w:hAnsi="Times New Roman" w:cs="Times New Roman"/>
      <w:noProof/>
      <w:sz w:val="16"/>
      <w:szCs w:val="16"/>
      <w:lang w:val="en-US"/>
    </w:rPr>
  </w:style>
  <w:style w:type="paragraph" w:customStyle="1" w:styleId="references">
    <w:name w:val="references"/>
    <w:rsid w:val="002F52F3"/>
    <w:pPr>
      <w:numPr>
        <w:numId w:val="3"/>
      </w:numPr>
      <w:spacing w:after="50" w:line="180" w:lineRule="exact"/>
      <w:jc w:val="both"/>
    </w:pPr>
    <w:rPr>
      <w:rFonts w:ascii="Times New Roman" w:eastAsia="MS Mincho" w:hAnsi="Times New Roman" w:cs="Times New Roman"/>
      <w:noProof/>
      <w:sz w:val="16"/>
      <w:szCs w:val="16"/>
      <w:lang w:val="en-US"/>
    </w:rPr>
  </w:style>
  <w:style w:type="paragraph" w:customStyle="1" w:styleId="sponsors">
    <w:name w:val="sponsors"/>
    <w:rsid w:val="002F52F3"/>
    <w:pPr>
      <w:framePr w:wrap="notBeside" w:hAnchor="margin" w:yAlign="bottom"/>
      <w:pBdr>
        <w:top w:val="single" w:sz="4" w:space="2" w:color="auto"/>
      </w:pBdr>
      <w:spacing w:after="0" w:line="240" w:lineRule="auto"/>
      <w:ind w:firstLine="288"/>
    </w:pPr>
    <w:rPr>
      <w:rFonts w:ascii="Times New Roman" w:eastAsia="SimSun" w:hAnsi="Times New Roman" w:cs="Times New Roman"/>
      <w:sz w:val="16"/>
      <w:szCs w:val="16"/>
      <w:lang w:val="en-US"/>
    </w:rPr>
  </w:style>
  <w:style w:type="character" w:styleId="af0">
    <w:name w:val="line number"/>
    <w:basedOn w:val="a5"/>
    <w:uiPriority w:val="99"/>
    <w:semiHidden/>
    <w:unhideWhenUsed/>
    <w:rsid w:val="00905BA9"/>
  </w:style>
  <w:style w:type="table" w:styleId="af1">
    <w:name w:val="Table Grid"/>
    <w:basedOn w:val="a6"/>
    <w:uiPriority w:val="59"/>
    <w:rsid w:val="00D55F83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List Paragraph"/>
    <w:basedOn w:val="a3"/>
    <w:uiPriority w:val="34"/>
    <w:qFormat/>
    <w:rsid w:val="004141C6"/>
    <w:pPr>
      <w:ind w:left="720" w:firstLine="709"/>
      <w:contextualSpacing/>
      <w:jc w:val="both"/>
    </w:pPr>
    <w:rPr>
      <w:rFonts w:eastAsiaTheme="minorHAnsi" w:cstheme="minorBidi"/>
      <w:sz w:val="28"/>
      <w:szCs w:val="22"/>
    </w:rPr>
  </w:style>
  <w:style w:type="paragraph" w:styleId="af3">
    <w:name w:val="header"/>
    <w:basedOn w:val="a3"/>
    <w:link w:val="af4"/>
    <w:uiPriority w:val="99"/>
    <w:unhideWhenUsed/>
    <w:rsid w:val="00227028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5"/>
    <w:link w:val="af3"/>
    <w:uiPriority w:val="99"/>
    <w:rsid w:val="00227028"/>
    <w:rPr>
      <w:rFonts w:ascii="Times New Roman" w:eastAsia="SimSun" w:hAnsi="Times New Roman" w:cs="Times New Roman"/>
      <w:sz w:val="20"/>
      <w:szCs w:val="20"/>
      <w:lang w:val="en-US"/>
    </w:rPr>
  </w:style>
  <w:style w:type="character" w:styleId="af5">
    <w:name w:val="annotation reference"/>
    <w:basedOn w:val="a5"/>
    <w:uiPriority w:val="99"/>
    <w:semiHidden/>
    <w:unhideWhenUsed/>
    <w:rsid w:val="005136FF"/>
    <w:rPr>
      <w:sz w:val="16"/>
      <w:szCs w:val="16"/>
    </w:rPr>
  </w:style>
  <w:style w:type="paragraph" w:styleId="af6">
    <w:name w:val="annotation text"/>
    <w:basedOn w:val="a3"/>
    <w:link w:val="af7"/>
    <w:uiPriority w:val="99"/>
    <w:semiHidden/>
    <w:unhideWhenUsed/>
    <w:rsid w:val="005136FF"/>
  </w:style>
  <w:style w:type="character" w:customStyle="1" w:styleId="af7">
    <w:name w:val="Текст примечания Знак"/>
    <w:basedOn w:val="a5"/>
    <w:link w:val="af6"/>
    <w:uiPriority w:val="99"/>
    <w:semiHidden/>
    <w:rsid w:val="005136FF"/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af8">
    <w:name w:val="Авторы"/>
    <w:basedOn w:val="a3"/>
    <w:next w:val="aa"/>
    <w:qFormat/>
    <w:rsid w:val="00D55F83"/>
    <w:pPr>
      <w:spacing w:before="240" w:after="80"/>
      <w:jc w:val="center"/>
    </w:pPr>
    <w:rPr>
      <w:sz w:val="24"/>
    </w:rPr>
  </w:style>
  <w:style w:type="character" w:customStyle="1" w:styleId="60">
    <w:name w:val="Заголовок 6 Знак"/>
    <w:basedOn w:val="a5"/>
    <w:link w:val="6"/>
    <w:uiPriority w:val="9"/>
    <w:semiHidden/>
    <w:rsid w:val="00D55F83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9">
    <w:name w:val="Ключевые слова"/>
    <w:basedOn w:val="a3"/>
    <w:next w:val="1"/>
    <w:qFormat/>
    <w:rsid w:val="00D55F83"/>
    <w:pPr>
      <w:spacing w:after="200"/>
      <w:ind w:firstLine="289"/>
      <w:jc w:val="both"/>
    </w:pPr>
    <w:rPr>
      <w:b/>
      <w:i/>
      <w:sz w:val="18"/>
    </w:rPr>
  </w:style>
  <w:style w:type="paragraph" w:customStyle="1" w:styleId="afa">
    <w:name w:val="Мэйл"/>
    <w:basedOn w:val="a3"/>
    <w:qFormat/>
    <w:rsid w:val="00D55F83"/>
    <w:pPr>
      <w:spacing w:after="120"/>
      <w:jc w:val="center"/>
    </w:pPr>
    <w:rPr>
      <w:sz w:val="22"/>
      <w:lang w:val="en-US"/>
    </w:rPr>
  </w:style>
  <w:style w:type="paragraph" w:styleId="afb">
    <w:name w:val="Title"/>
    <w:basedOn w:val="a3"/>
    <w:next w:val="a3"/>
    <w:link w:val="afc"/>
    <w:qFormat/>
    <w:rsid w:val="00D55F83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c">
    <w:name w:val="Название Знак"/>
    <w:basedOn w:val="a5"/>
    <w:link w:val="afb"/>
    <w:rsid w:val="00D55F83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3"/>
    <w:qFormat/>
    <w:rsid w:val="00D55F83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4"/>
    <w:next w:val="a3"/>
    <w:qFormat/>
    <w:rsid w:val="00D55F83"/>
    <w:pPr>
      <w:numPr>
        <w:numId w:val="12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4"/>
    <w:next w:val="a4"/>
    <w:qFormat/>
    <w:rsid w:val="00D55F83"/>
    <w:pPr>
      <w:numPr>
        <w:numId w:val="13"/>
      </w:numPr>
      <w:spacing w:after="60"/>
    </w:pPr>
  </w:style>
  <w:style w:type="paragraph" w:customStyle="1" w:styleId="afd">
    <w:name w:val="Строка таблицы"/>
    <w:basedOn w:val="a3"/>
    <w:qFormat/>
    <w:rsid w:val="00D55F83"/>
    <w:pPr>
      <w:tabs>
        <w:tab w:val="left" w:pos="1021"/>
      </w:tabs>
    </w:pPr>
    <w:rPr>
      <w:sz w:val="16"/>
    </w:rPr>
  </w:style>
  <w:style w:type="paragraph" w:customStyle="1" w:styleId="a2">
    <w:name w:val="Таблица"/>
    <w:basedOn w:val="a3"/>
    <w:next w:val="a3"/>
    <w:qFormat/>
    <w:rsid w:val="00D55F83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e">
    <w:name w:val="Финансирование"/>
    <w:basedOn w:val="a3"/>
    <w:qFormat/>
    <w:rsid w:val="00D55F83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3">
    <w:name w:val="Normal"/>
    <w:qFormat/>
    <w:rsid w:val="00D55F8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3"/>
    <w:next w:val="a4"/>
    <w:link w:val="10"/>
    <w:qFormat/>
    <w:rsid w:val="00D55F83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3"/>
    <w:next w:val="a3"/>
    <w:link w:val="20"/>
    <w:qFormat/>
    <w:rsid w:val="00D55F83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3"/>
    <w:next w:val="a3"/>
    <w:link w:val="30"/>
    <w:uiPriority w:val="1"/>
    <w:rsid w:val="00D55F83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3"/>
    <w:next w:val="a3"/>
    <w:link w:val="40"/>
    <w:uiPriority w:val="1"/>
    <w:rsid w:val="00D55F83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3"/>
    <w:next w:val="a3"/>
    <w:link w:val="50"/>
    <w:qFormat/>
    <w:rsid w:val="00D55F83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3"/>
    <w:next w:val="a3"/>
    <w:link w:val="60"/>
    <w:uiPriority w:val="9"/>
    <w:semiHidden/>
    <w:unhideWhenUsed/>
    <w:rsid w:val="00D55F83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55F83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5"/>
    <w:link w:val="2"/>
    <w:rsid w:val="00D55F83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5"/>
    <w:link w:val="3"/>
    <w:uiPriority w:val="1"/>
    <w:rsid w:val="00D55F83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5"/>
    <w:link w:val="4"/>
    <w:uiPriority w:val="1"/>
    <w:rsid w:val="00D55F83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5"/>
    <w:link w:val="5"/>
    <w:rsid w:val="00D55F83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4">
    <w:name w:val="Body Text"/>
    <w:basedOn w:val="a3"/>
    <w:link w:val="a8"/>
    <w:rsid w:val="00D55F83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8">
    <w:name w:val="Основной текст Знак"/>
    <w:link w:val="a4"/>
    <w:rsid w:val="00D55F83"/>
    <w:rPr>
      <w:rFonts w:ascii="Times New Roman" w:eastAsia="MS Mincho" w:hAnsi="Times New Roman" w:cs="Times New Roman"/>
      <w:spacing w:val="-1"/>
      <w:sz w:val="20"/>
      <w:szCs w:val="20"/>
    </w:rPr>
  </w:style>
  <w:style w:type="paragraph" w:customStyle="1" w:styleId="a9">
    <w:name w:val="Аннотация"/>
    <w:basedOn w:val="aa"/>
    <w:qFormat/>
    <w:rsid w:val="00D55F83"/>
    <w:pPr>
      <w:ind w:firstLine="289"/>
      <w:jc w:val="both"/>
    </w:pPr>
    <w:rPr>
      <w:b/>
      <w:i w:val="0"/>
      <w:sz w:val="18"/>
    </w:rPr>
  </w:style>
  <w:style w:type="paragraph" w:customStyle="1" w:styleId="aa">
    <w:name w:val="Организация"/>
    <w:basedOn w:val="a3"/>
    <w:qFormat/>
    <w:rsid w:val="00D55F83"/>
    <w:pPr>
      <w:spacing w:after="80"/>
      <w:jc w:val="center"/>
    </w:pPr>
    <w:rPr>
      <w:i/>
      <w:sz w:val="22"/>
    </w:rPr>
  </w:style>
  <w:style w:type="paragraph" w:customStyle="1" w:styleId="ab">
    <w:name w:val="Автор"/>
    <w:rsid w:val="002F52F3"/>
    <w:pPr>
      <w:suppressAutoHyphens/>
      <w:spacing w:before="360" w:after="4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a1">
    <w:name w:val="Нумерация рисунка"/>
    <w:next w:val="a4"/>
    <w:rsid w:val="002F52F3"/>
    <w:pPr>
      <w:numPr>
        <w:numId w:val="1"/>
      </w:numPr>
      <w:tabs>
        <w:tab w:val="left" w:pos="533"/>
      </w:tabs>
      <w:spacing w:before="80" w:after="20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paragraph" w:customStyle="1" w:styleId="ac">
    <w:name w:val="Заголовок статьи"/>
    <w:rsid w:val="002F52F3"/>
    <w:pPr>
      <w:suppressAutoHyphens/>
      <w:spacing w:before="240" w:after="120" w:line="240" w:lineRule="auto"/>
      <w:jc w:val="center"/>
    </w:pPr>
    <w:rPr>
      <w:rFonts w:ascii="Times New Roman" w:eastAsia="Times New Roman" w:hAnsi="Times New Roman" w:cs="Times New Roman"/>
      <w:bCs/>
      <w:sz w:val="48"/>
      <w:szCs w:val="48"/>
      <w:lang w:val="en-US"/>
    </w:rPr>
  </w:style>
  <w:style w:type="character" w:customStyle="1" w:styleId="ad">
    <w:name w:val="Нижний колонтитул Знак"/>
    <w:link w:val="ae"/>
    <w:locked/>
    <w:rsid w:val="00D55F83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e">
    <w:name w:val="footer"/>
    <w:basedOn w:val="1"/>
    <w:link w:val="ad"/>
    <w:rsid w:val="00D55F83"/>
  </w:style>
  <w:style w:type="character" w:customStyle="1" w:styleId="11">
    <w:name w:val="Нижний колонтитул Знак1"/>
    <w:basedOn w:val="a5"/>
    <w:uiPriority w:val="99"/>
    <w:semiHidden/>
    <w:rsid w:val="002F52F3"/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af">
    <w:name w:val="Рисунок изображение"/>
    <w:basedOn w:val="a3"/>
    <w:next w:val="a3"/>
    <w:qFormat/>
    <w:rsid w:val="002F52F3"/>
    <w:pPr>
      <w:keepNext/>
      <w:spacing w:before="240" w:after="120" w:line="276" w:lineRule="auto"/>
    </w:pPr>
    <w:rPr>
      <w:sz w:val="24"/>
      <w:szCs w:val="24"/>
      <w:lang w:eastAsia="ru-RU"/>
    </w:rPr>
  </w:style>
  <w:style w:type="paragraph" w:customStyle="1" w:styleId="equation">
    <w:name w:val="equation"/>
    <w:basedOn w:val="a3"/>
    <w:rsid w:val="002F52F3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12">
    <w:name w:val="Стиль1"/>
    <w:basedOn w:val="a4"/>
    <w:link w:val="13"/>
    <w:qFormat/>
    <w:rsid w:val="002F52F3"/>
  </w:style>
  <w:style w:type="character" w:customStyle="1" w:styleId="13">
    <w:name w:val="Стиль1 Знак"/>
    <w:link w:val="12"/>
    <w:rsid w:val="002F52F3"/>
    <w:rPr>
      <w:rFonts w:ascii="Times New Roman" w:eastAsia="SimSun" w:hAnsi="Times New Roman" w:cs="Times New Roman"/>
      <w:spacing w:val="-1"/>
      <w:sz w:val="20"/>
      <w:szCs w:val="20"/>
      <w:lang w:val="x-none" w:eastAsia="x-none"/>
    </w:rPr>
  </w:style>
  <w:style w:type="paragraph" w:customStyle="1" w:styleId="Affiliation">
    <w:name w:val="Affiliation"/>
    <w:rsid w:val="002F52F3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figurecaption">
    <w:name w:val="figure caption"/>
    <w:rsid w:val="002F52F3"/>
    <w:pPr>
      <w:numPr>
        <w:numId w:val="2"/>
      </w:numPr>
      <w:tabs>
        <w:tab w:val="left" w:pos="533"/>
      </w:tabs>
      <w:spacing w:before="80" w:after="200" w:line="240" w:lineRule="auto"/>
      <w:jc w:val="both"/>
    </w:pPr>
    <w:rPr>
      <w:rFonts w:ascii="Times New Roman" w:eastAsia="SimSun" w:hAnsi="Times New Roman" w:cs="Times New Roman"/>
      <w:noProof/>
      <w:sz w:val="16"/>
      <w:szCs w:val="16"/>
      <w:lang w:val="en-US"/>
    </w:rPr>
  </w:style>
  <w:style w:type="paragraph" w:customStyle="1" w:styleId="references">
    <w:name w:val="references"/>
    <w:rsid w:val="002F52F3"/>
    <w:pPr>
      <w:numPr>
        <w:numId w:val="3"/>
      </w:numPr>
      <w:spacing w:after="50" w:line="180" w:lineRule="exact"/>
      <w:jc w:val="both"/>
    </w:pPr>
    <w:rPr>
      <w:rFonts w:ascii="Times New Roman" w:eastAsia="MS Mincho" w:hAnsi="Times New Roman" w:cs="Times New Roman"/>
      <w:noProof/>
      <w:sz w:val="16"/>
      <w:szCs w:val="16"/>
      <w:lang w:val="en-US"/>
    </w:rPr>
  </w:style>
  <w:style w:type="paragraph" w:customStyle="1" w:styleId="sponsors">
    <w:name w:val="sponsors"/>
    <w:rsid w:val="002F52F3"/>
    <w:pPr>
      <w:framePr w:wrap="notBeside" w:hAnchor="margin" w:yAlign="bottom"/>
      <w:pBdr>
        <w:top w:val="single" w:sz="4" w:space="2" w:color="auto"/>
      </w:pBdr>
      <w:spacing w:after="0" w:line="240" w:lineRule="auto"/>
      <w:ind w:firstLine="288"/>
    </w:pPr>
    <w:rPr>
      <w:rFonts w:ascii="Times New Roman" w:eastAsia="SimSun" w:hAnsi="Times New Roman" w:cs="Times New Roman"/>
      <w:sz w:val="16"/>
      <w:szCs w:val="16"/>
      <w:lang w:val="en-US"/>
    </w:rPr>
  </w:style>
  <w:style w:type="character" w:styleId="af0">
    <w:name w:val="line number"/>
    <w:basedOn w:val="a5"/>
    <w:uiPriority w:val="99"/>
    <w:semiHidden/>
    <w:unhideWhenUsed/>
    <w:rsid w:val="00905BA9"/>
  </w:style>
  <w:style w:type="table" w:styleId="af1">
    <w:name w:val="Table Grid"/>
    <w:basedOn w:val="a6"/>
    <w:uiPriority w:val="59"/>
    <w:rsid w:val="00D55F83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List Paragraph"/>
    <w:basedOn w:val="a3"/>
    <w:uiPriority w:val="34"/>
    <w:qFormat/>
    <w:rsid w:val="004141C6"/>
    <w:pPr>
      <w:ind w:left="720" w:firstLine="709"/>
      <w:contextualSpacing/>
      <w:jc w:val="both"/>
    </w:pPr>
    <w:rPr>
      <w:rFonts w:eastAsiaTheme="minorHAnsi" w:cstheme="minorBidi"/>
      <w:sz w:val="28"/>
      <w:szCs w:val="22"/>
    </w:rPr>
  </w:style>
  <w:style w:type="paragraph" w:styleId="af3">
    <w:name w:val="header"/>
    <w:basedOn w:val="a3"/>
    <w:link w:val="af4"/>
    <w:uiPriority w:val="99"/>
    <w:unhideWhenUsed/>
    <w:rsid w:val="00227028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5"/>
    <w:link w:val="af3"/>
    <w:uiPriority w:val="99"/>
    <w:rsid w:val="00227028"/>
    <w:rPr>
      <w:rFonts w:ascii="Times New Roman" w:eastAsia="SimSun" w:hAnsi="Times New Roman" w:cs="Times New Roman"/>
      <w:sz w:val="20"/>
      <w:szCs w:val="20"/>
      <w:lang w:val="en-US"/>
    </w:rPr>
  </w:style>
  <w:style w:type="character" w:styleId="af5">
    <w:name w:val="annotation reference"/>
    <w:basedOn w:val="a5"/>
    <w:uiPriority w:val="99"/>
    <w:semiHidden/>
    <w:unhideWhenUsed/>
    <w:rsid w:val="005136FF"/>
    <w:rPr>
      <w:sz w:val="16"/>
      <w:szCs w:val="16"/>
    </w:rPr>
  </w:style>
  <w:style w:type="paragraph" w:styleId="af6">
    <w:name w:val="annotation text"/>
    <w:basedOn w:val="a3"/>
    <w:link w:val="af7"/>
    <w:uiPriority w:val="99"/>
    <w:semiHidden/>
    <w:unhideWhenUsed/>
    <w:rsid w:val="005136FF"/>
  </w:style>
  <w:style w:type="character" w:customStyle="1" w:styleId="af7">
    <w:name w:val="Текст примечания Знак"/>
    <w:basedOn w:val="a5"/>
    <w:link w:val="af6"/>
    <w:uiPriority w:val="99"/>
    <w:semiHidden/>
    <w:rsid w:val="005136FF"/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af8">
    <w:name w:val="Авторы"/>
    <w:basedOn w:val="a3"/>
    <w:next w:val="aa"/>
    <w:qFormat/>
    <w:rsid w:val="00D55F83"/>
    <w:pPr>
      <w:spacing w:before="240" w:after="80"/>
      <w:jc w:val="center"/>
    </w:pPr>
    <w:rPr>
      <w:sz w:val="24"/>
    </w:rPr>
  </w:style>
  <w:style w:type="character" w:customStyle="1" w:styleId="60">
    <w:name w:val="Заголовок 6 Знак"/>
    <w:basedOn w:val="a5"/>
    <w:link w:val="6"/>
    <w:uiPriority w:val="9"/>
    <w:semiHidden/>
    <w:rsid w:val="00D55F83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9">
    <w:name w:val="Ключевые слова"/>
    <w:basedOn w:val="a3"/>
    <w:next w:val="1"/>
    <w:qFormat/>
    <w:rsid w:val="00D55F83"/>
    <w:pPr>
      <w:spacing w:after="200"/>
      <w:ind w:firstLine="289"/>
      <w:jc w:val="both"/>
    </w:pPr>
    <w:rPr>
      <w:b/>
      <w:i/>
      <w:sz w:val="18"/>
    </w:rPr>
  </w:style>
  <w:style w:type="paragraph" w:customStyle="1" w:styleId="afa">
    <w:name w:val="Мэйл"/>
    <w:basedOn w:val="a3"/>
    <w:qFormat/>
    <w:rsid w:val="00D55F83"/>
    <w:pPr>
      <w:spacing w:after="120"/>
      <w:jc w:val="center"/>
    </w:pPr>
    <w:rPr>
      <w:sz w:val="22"/>
      <w:lang w:val="en-US"/>
    </w:rPr>
  </w:style>
  <w:style w:type="paragraph" w:styleId="afb">
    <w:name w:val="Title"/>
    <w:basedOn w:val="a3"/>
    <w:next w:val="a3"/>
    <w:link w:val="afc"/>
    <w:qFormat/>
    <w:rsid w:val="00D55F83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c">
    <w:name w:val="Название Знак"/>
    <w:basedOn w:val="a5"/>
    <w:link w:val="afb"/>
    <w:rsid w:val="00D55F83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">
    <w:name w:val="Название рисунка"/>
    <w:basedOn w:val="a3"/>
    <w:qFormat/>
    <w:rsid w:val="00D55F83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4"/>
    <w:next w:val="a3"/>
    <w:qFormat/>
    <w:rsid w:val="00D55F83"/>
    <w:pPr>
      <w:numPr>
        <w:numId w:val="12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4"/>
    <w:next w:val="a4"/>
    <w:qFormat/>
    <w:rsid w:val="00D55F83"/>
    <w:pPr>
      <w:numPr>
        <w:numId w:val="13"/>
      </w:numPr>
      <w:spacing w:after="60"/>
    </w:pPr>
  </w:style>
  <w:style w:type="paragraph" w:customStyle="1" w:styleId="afd">
    <w:name w:val="Строка таблицы"/>
    <w:basedOn w:val="a3"/>
    <w:qFormat/>
    <w:rsid w:val="00D55F83"/>
    <w:pPr>
      <w:tabs>
        <w:tab w:val="left" w:pos="1021"/>
      </w:tabs>
    </w:pPr>
    <w:rPr>
      <w:sz w:val="16"/>
    </w:rPr>
  </w:style>
  <w:style w:type="paragraph" w:customStyle="1" w:styleId="a2">
    <w:name w:val="Таблица"/>
    <w:basedOn w:val="a3"/>
    <w:next w:val="a3"/>
    <w:qFormat/>
    <w:rsid w:val="00D55F83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e">
    <w:name w:val="Финансирование"/>
    <w:basedOn w:val="a3"/>
    <w:qFormat/>
    <w:rsid w:val="00D55F83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9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6.bin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microsoft.com/office/2007/relationships/hdphoto" Target="media/hdphoto1.wdp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5.emf"/><Relationship Id="rId25" Type="http://schemas.openxmlformats.org/officeDocument/2006/relationships/image" Target="media/image11.emf"/><Relationship Id="rId33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image" Target="media/image7.png"/><Relationship Id="rId29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image" Target="media/image10.png"/><Relationship Id="rId32" Type="http://schemas.openxmlformats.org/officeDocument/2006/relationships/oleObject" Target="embeddings/oleObject9.bin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23" Type="http://schemas.openxmlformats.org/officeDocument/2006/relationships/oleObject" Target="embeddings/oleObject5.bin"/><Relationship Id="rId28" Type="http://schemas.openxmlformats.org/officeDocument/2006/relationships/oleObject" Target="embeddings/oleObject7.bin"/><Relationship Id="rId36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31" Type="http://schemas.openxmlformats.org/officeDocument/2006/relationships/image" Target="media/image14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image" Target="media/image9.emf"/><Relationship Id="rId27" Type="http://schemas.openxmlformats.org/officeDocument/2006/relationships/image" Target="media/image12.emf"/><Relationship Id="rId30" Type="http://schemas.openxmlformats.org/officeDocument/2006/relationships/oleObject" Target="embeddings/oleObject8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03156-1CA0-4BCE-817C-35BAFAD9F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2079</Words>
  <Characters>11852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Giorgio</dc:creator>
  <cp:lastModifiedBy>Ri</cp:lastModifiedBy>
  <cp:revision>3</cp:revision>
  <dcterms:created xsi:type="dcterms:W3CDTF">2025-09-11T14:20:00Z</dcterms:created>
  <dcterms:modified xsi:type="dcterms:W3CDTF">2025-09-12T09:07:00Z</dcterms:modified>
</cp:coreProperties>
</file>